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4EE5" w14:textId="50B267B0" w:rsidR="005C1E49" w:rsidRPr="005C1E49" w:rsidRDefault="00B24E3E">
      <w:pPr>
        <w:rPr>
          <w:rFonts w:ascii="Arial" w:hAnsi="Arial" w:cs="Arial"/>
          <w:b/>
          <w:sz w:val="28"/>
        </w:rPr>
      </w:pPr>
      <w:r>
        <w:rPr>
          <w:rFonts w:ascii="Arial" w:hAnsi="Arial" w:cs="Arial"/>
          <w:b/>
          <w:sz w:val="28"/>
        </w:rPr>
        <w:t>Public Tables</w:t>
      </w:r>
      <w:r>
        <w:rPr>
          <w:rFonts w:ascii="Arial" w:hAnsi="Arial" w:cs="Arial"/>
          <w:b/>
          <w:sz w:val="28"/>
        </w:rPr>
        <w:br/>
      </w:r>
      <w:r w:rsidRPr="00B24E3E">
        <w:rPr>
          <w:rFonts w:ascii="Arial" w:hAnsi="Arial" w:cs="Arial"/>
          <w:b/>
          <w:sz w:val="24"/>
          <w:szCs w:val="20"/>
        </w:rPr>
        <w:t>Number of Participants</w:t>
      </w:r>
    </w:p>
    <w:p w14:paraId="6C8E41F0" w14:textId="36302271" w:rsidR="00D87CFC" w:rsidRDefault="00D87CFC">
      <w:pPr>
        <w:rPr>
          <w:rFonts w:ascii="Arial" w:hAnsi="Arial" w:cs="Arial"/>
          <w:sz w:val="24"/>
        </w:rPr>
      </w:pPr>
      <w:r>
        <w:rPr>
          <w:rFonts w:ascii="Arial" w:hAnsi="Arial" w:cs="Arial"/>
          <w:sz w:val="24"/>
        </w:rPr>
        <w:t>Partners who have been delivering the project for more than 2 year</w:t>
      </w:r>
      <w:r w:rsidR="00F8175E">
        <w:rPr>
          <w:rFonts w:ascii="Arial" w:hAnsi="Arial" w:cs="Arial"/>
          <w:sz w:val="24"/>
        </w:rPr>
        <w:t>s</w:t>
      </w:r>
      <w:r>
        <w:rPr>
          <w:rFonts w:ascii="Arial" w:hAnsi="Arial" w:cs="Arial"/>
          <w:sz w:val="24"/>
        </w:rPr>
        <w:t xml:space="preserve"> will be required to </w:t>
      </w:r>
      <w:r w:rsidR="00583A47">
        <w:rPr>
          <w:rFonts w:ascii="Arial" w:hAnsi="Arial" w:cs="Arial"/>
          <w:sz w:val="24"/>
        </w:rPr>
        <w:t>provide</w:t>
      </w:r>
      <w:r>
        <w:rPr>
          <w:rFonts w:ascii="Arial" w:hAnsi="Arial" w:cs="Arial"/>
          <w:sz w:val="24"/>
        </w:rPr>
        <w:t xml:space="preserve"> the number of public tables available through their Ping project – this does not include Ping Pong Parlours, Ping in the Community or Loop at Work projects. </w:t>
      </w:r>
    </w:p>
    <w:p w14:paraId="691CC0B1" w14:textId="51743C31" w:rsidR="00DF0E1E" w:rsidRDefault="00DF0E1E">
      <w:pPr>
        <w:rPr>
          <w:rFonts w:ascii="Arial" w:hAnsi="Arial" w:cs="Arial"/>
          <w:sz w:val="24"/>
        </w:rPr>
      </w:pPr>
      <w:r>
        <w:rPr>
          <w:rFonts w:ascii="Arial" w:hAnsi="Arial" w:cs="Arial"/>
          <w:sz w:val="24"/>
        </w:rPr>
        <w:t xml:space="preserve">New partners and partners that have been delivering the project for less than 2 years will be required to complete table monitoring at 25% of their tables. This will also be a requirement for existing partners who introduce new </w:t>
      </w:r>
      <w:r w:rsidR="00583A47">
        <w:rPr>
          <w:rFonts w:ascii="Arial" w:hAnsi="Arial" w:cs="Arial"/>
          <w:sz w:val="24"/>
        </w:rPr>
        <w:t xml:space="preserve">public </w:t>
      </w:r>
      <w:r>
        <w:rPr>
          <w:rFonts w:ascii="Arial" w:hAnsi="Arial" w:cs="Arial"/>
          <w:sz w:val="24"/>
        </w:rPr>
        <w:t>tables to their project</w:t>
      </w:r>
      <w:r w:rsidR="00B24E3E">
        <w:rPr>
          <w:rFonts w:ascii="Arial" w:hAnsi="Arial" w:cs="Arial"/>
          <w:sz w:val="24"/>
        </w:rPr>
        <w:t xml:space="preserve"> (25% of their new tables).</w:t>
      </w:r>
    </w:p>
    <w:p w14:paraId="359C7C5D" w14:textId="32FE8416" w:rsidR="00B24E3E" w:rsidRDefault="00B24E3E">
      <w:pPr>
        <w:rPr>
          <w:rFonts w:ascii="Arial" w:hAnsi="Arial" w:cs="Arial"/>
          <w:sz w:val="24"/>
        </w:rPr>
      </w:pPr>
      <w:r>
        <w:rPr>
          <w:rFonts w:ascii="Arial" w:hAnsi="Arial" w:cs="Arial"/>
          <w:sz w:val="24"/>
        </w:rPr>
        <w:t xml:space="preserve">Partners use the </w:t>
      </w:r>
      <w:r w:rsidRPr="00B24E3E">
        <w:rPr>
          <w:rFonts w:ascii="Arial" w:hAnsi="Arial" w:cs="Arial"/>
          <w:b/>
          <w:bCs/>
          <w:i/>
          <w:iCs/>
          <w:sz w:val="24"/>
        </w:rPr>
        <w:t>Ping 20</w:t>
      </w:r>
      <w:r w:rsidR="00DA5E93">
        <w:rPr>
          <w:rFonts w:ascii="Arial" w:hAnsi="Arial" w:cs="Arial"/>
          <w:b/>
          <w:bCs/>
          <w:i/>
          <w:iCs/>
          <w:sz w:val="24"/>
        </w:rPr>
        <w:t>21</w:t>
      </w:r>
      <w:r w:rsidRPr="00B24E3E">
        <w:rPr>
          <w:rFonts w:ascii="Arial" w:hAnsi="Arial" w:cs="Arial"/>
          <w:b/>
          <w:bCs/>
          <w:i/>
          <w:iCs/>
          <w:sz w:val="24"/>
        </w:rPr>
        <w:t xml:space="preserve"> Monitoring and Evaluation Template</w:t>
      </w:r>
      <w:r>
        <w:rPr>
          <w:rFonts w:ascii="Arial" w:hAnsi="Arial" w:cs="Arial"/>
          <w:i/>
          <w:iCs/>
          <w:sz w:val="24"/>
        </w:rPr>
        <w:t xml:space="preserve"> </w:t>
      </w:r>
      <w:r>
        <w:rPr>
          <w:rFonts w:ascii="Arial" w:hAnsi="Arial" w:cs="Arial"/>
          <w:sz w:val="24"/>
        </w:rPr>
        <w:t xml:space="preserve">document and complete the </w:t>
      </w:r>
      <w:r>
        <w:rPr>
          <w:rFonts w:ascii="Arial" w:hAnsi="Arial" w:cs="Arial"/>
          <w:i/>
          <w:iCs/>
          <w:sz w:val="24"/>
        </w:rPr>
        <w:t xml:space="preserve">“Table Monitoring” </w:t>
      </w:r>
      <w:r>
        <w:rPr>
          <w:rFonts w:ascii="Arial" w:hAnsi="Arial" w:cs="Arial"/>
          <w:sz w:val="24"/>
        </w:rPr>
        <w:t>tab if applicable. Partners not completing this tab will still be required to confirm the number of public tables they have available</w:t>
      </w:r>
      <w:r w:rsidR="006C7CAE">
        <w:rPr>
          <w:rFonts w:ascii="Arial" w:hAnsi="Arial" w:cs="Arial"/>
          <w:sz w:val="24"/>
        </w:rPr>
        <w:t>.</w:t>
      </w:r>
    </w:p>
    <w:p w14:paraId="1DAC05DC" w14:textId="05C684EF" w:rsidR="00DF0E1E" w:rsidRDefault="00F8175E">
      <w:pPr>
        <w:rPr>
          <w:rFonts w:ascii="Arial" w:hAnsi="Arial" w:cs="Arial"/>
          <w:sz w:val="24"/>
        </w:rPr>
      </w:pPr>
      <w:r>
        <w:rPr>
          <w:rFonts w:ascii="Arial" w:hAnsi="Arial" w:cs="Arial"/>
          <w:sz w:val="24"/>
        </w:rPr>
        <w:t xml:space="preserve">The number of participants will be calculated </w:t>
      </w:r>
      <w:r w:rsidR="00D31B8B">
        <w:rPr>
          <w:rFonts w:ascii="Arial" w:hAnsi="Arial" w:cs="Arial"/>
          <w:sz w:val="24"/>
        </w:rPr>
        <w:t>using the below calculation</w:t>
      </w:r>
      <w:r>
        <w:rPr>
          <w:rFonts w:ascii="Arial" w:hAnsi="Arial" w:cs="Arial"/>
          <w:sz w:val="24"/>
        </w:rPr>
        <w:t>;</w:t>
      </w:r>
    </w:p>
    <w:p w14:paraId="26DFB345" w14:textId="50576769" w:rsidR="00DF0E1E" w:rsidRDefault="00F8175E" w:rsidP="00F8175E">
      <w:pPr>
        <w:ind w:left="360"/>
        <w:rPr>
          <w:rFonts w:ascii="Arial" w:hAnsi="Arial" w:cs="Arial"/>
          <w:i/>
          <w:sz w:val="24"/>
        </w:rPr>
      </w:pPr>
      <w:r w:rsidRPr="00F8175E">
        <w:rPr>
          <w:rFonts w:ascii="Arial" w:hAnsi="Arial" w:cs="Arial"/>
          <w:i/>
          <w:sz w:val="24"/>
        </w:rPr>
        <w:t>Average participants per table from previous years</w:t>
      </w:r>
      <w:r w:rsidRPr="00F8175E">
        <w:rPr>
          <w:rFonts w:ascii="Arial" w:hAnsi="Arial" w:cs="Arial"/>
          <w:sz w:val="24"/>
        </w:rPr>
        <w:t xml:space="preserve"> </w:t>
      </w:r>
      <w:r>
        <w:rPr>
          <w:rFonts w:ascii="Arial" w:hAnsi="Arial" w:cs="Arial"/>
          <w:sz w:val="24"/>
        </w:rPr>
        <w:t>x</w:t>
      </w:r>
      <w:r w:rsidRPr="00F8175E">
        <w:rPr>
          <w:rFonts w:ascii="Arial" w:hAnsi="Arial" w:cs="Arial"/>
          <w:sz w:val="24"/>
        </w:rPr>
        <w:t xml:space="preserve"> </w:t>
      </w:r>
      <w:r w:rsidRPr="00F8175E">
        <w:rPr>
          <w:rFonts w:ascii="Arial" w:hAnsi="Arial" w:cs="Arial"/>
          <w:i/>
          <w:sz w:val="24"/>
        </w:rPr>
        <w:t>Number of tables as supplied by partners who have delivered the project for 2 years or more</w:t>
      </w:r>
    </w:p>
    <w:p w14:paraId="4426FE70" w14:textId="52AC7DEE" w:rsidR="00F8175E" w:rsidRDefault="00F8175E" w:rsidP="00F8175E">
      <w:pPr>
        <w:ind w:left="36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3E68074D" w14:textId="40A26C2C" w:rsidR="00F8175E" w:rsidRPr="00F8175E" w:rsidRDefault="00F8175E" w:rsidP="00F8175E">
      <w:pPr>
        <w:ind w:left="360"/>
        <w:rPr>
          <w:rFonts w:ascii="Arial" w:hAnsi="Arial" w:cs="Arial"/>
          <w:i/>
          <w:sz w:val="24"/>
        </w:rPr>
      </w:pPr>
      <w:r>
        <w:rPr>
          <w:rFonts w:ascii="Arial" w:hAnsi="Arial" w:cs="Arial"/>
          <w:i/>
          <w:sz w:val="24"/>
        </w:rPr>
        <w:t>Number of participants fro</w:t>
      </w:r>
      <w:r w:rsidR="004148B9">
        <w:rPr>
          <w:rFonts w:ascii="Arial" w:hAnsi="Arial" w:cs="Arial"/>
          <w:i/>
          <w:sz w:val="24"/>
        </w:rPr>
        <w:t>m partners delivering the project for less than 2 years and new table locations, derived from table monitoring data</w:t>
      </w:r>
      <w:r w:rsidR="006C7CAE">
        <w:rPr>
          <w:rFonts w:ascii="Arial" w:hAnsi="Arial" w:cs="Arial"/>
          <w:i/>
          <w:sz w:val="24"/>
        </w:rPr>
        <w:br/>
      </w:r>
    </w:p>
    <w:p w14:paraId="51277DFC" w14:textId="77777777" w:rsidR="00D31B8B" w:rsidRDefault="00D31B8B">
      <w:pPr>
        <w:rPr>
          <w:rFonts w:ascii="Arial" w:hAnsi="Arial" w:cs="Arial"/>
          <w:b/>
          <w:sz w:val="28"/>
        </w:rPr>
      </w:pPr>
      <w:r>
        <w:rPr>
          <w:rFonts w:ascii="Arial" w:hAnsi="Arial" w:cs="Arial"/>
          <w:b/>
          <w:sz w:val="28"/>
        </w:rPr>
        <w:t>Table Donations</w:t>
      </w:r>
    </w:p>
    <w:p w14:paraId="00B14CBD" w14:textId="77777777" w:rsidR="00D31B8B" w:rsidRDefault="00D31B8B">
      <w:pPr>
        <w:rPr>
          <w:rFonts w:ascii="Arial" w:hAnsi="Arial" w:cs="Arial"/>
          <w:bCs/>
          <w:sz w:val="24"/>
          <w:szCs w:val="20"/>
        </w:rPr>
      </w:pPr>
      <w:r>
        <w:rPr>
          <w:rFonts w:ascii="Arial" w:hAnsi="Arial" w:cs="Arial"/>
          <w:bCs/>
          <w:sz w:val="24"/>
          <w:szCs w:val="20"/>
        </w:rPr>
        <w:t>Partners who have donated tables to local groups will be required to provide the information of the organisation(s) which received equipment. This will enable TTE to contact them to complete the appropriate existing monitoring and evaluation methods for the relevant project.</w:t>
      </w:r>
    </w:p>
    <w:p w14:paraId="16676BA6" w14:textId="1ECF0452" w:rsidR="00AD651F" w:rsidRDefault="00D31B8B">
      <w:pPr>
        <w:rPr>
          <w:rFonts w:ascii="Arial" w:hAnsi="Arial" w:cs="Arial"/>
          <w:sz w:val="24"/>
        </w:rPr>
      </w:pPr>
      <w:r>
        <w:rPr>
          <w:rFonts w:ascii="Arial" w:hAnsi="Arial" w:cs="Arial"/>
          <w:bCs/>
          <w:sz w:val="24"/>
          <w:szCs w:val="20"/>
        </w:rPr>
        <w:t xml:space="preserve">Partners use the </w:t>
      </w:r>
      <w:r w:rsidRPr="00B24E3E">
        <w:rPr>
          <w:rFonts w:ascii="Arial" w:hAnsi="Arial" w:cs="Arial"/>
          <w:b/>
          <w:bCs/>
          <w:i/>
          <w:iCs/>
          <w:sz w:val="24"/>
        </w:rPr>
        <w:t>Ping 20</w:t>
      </w:r>
      <w:r w:rsidR="00DA5E93">
        <w:rPr>
          <w:rFonts w:ascii="Arial" w:hAnsi="Arial" w:cs="Arial"/>
          <w:b/>
          <w:bCs/>
          <w:i/>
          <w:iCs/>
          <w:sz w:val="24"/>
        </w:rPr>
        <w:t>21</w:t>
      </w:r>
      <w:r w:rsidRPr="00B24E3E">
        <w:rPr>
          <w:rFonts w:ascii="Arial" w:hAnsi="Arial" w:cs="Arial"/>
          <w:b/>
          <w:bCs/>
          <w:i/>
          <w:iCs/>
          <w:sz w:val="24"/>
        </w:rPr>
        <w:t xml:space="preserve"> Monitoring and Evaluation Template</w:t>
      </w:r>
      <w:r>
        <w:rPr>
          <w:rFonts w:ascii="Arial" w:hAnsi="Arial" w:cs="Arial"/>
          <w:i/>
          <w:iCs/>
          <w:sz w:val="24"/>
        </w:rPr>
        <w:t xml:space="preserve"> </w:t>
      </w:r>
      <w:r>
        <w:rPr>
          <w:rFonts w:ascii="Arial" w:hAnsi="Arial" w:cs="Arial"/>
          <w:sz w:val="24"/>
        </w:rPr>
        <w:t xml:space="preserve">document and complete the </w:t>
      </w:r>
      <w:r>
        <w:rPr>
          <w:rFonts w:ascii="Arial" w:hAnsi="Arial" w:cs="Arial"/>
          <w:i/>
          <w:iCs/>
          <w:sz w:val="24"/>
        </w:rPr>
        <w:t xml:space="preserve">“Table Donations” </w:t>
      </w:r>
      <w:r>
        <w:rPr>
          <w:rFonts w:ascii="Arial" w:hAnsi="Arial" w:cs="Arial"/>
          <w:sz w:val="24"/>
        </w:rPr>
        <w:t>tab if applicable.</w:t>
      </w:r>
      <w:r w:rsidR="00AD651F">
        <w:rPr>
          <w:rFonts w:ascii="Arial" w:hAnsi="Arial" w:cs="Arial"/>
          <w:sz w:val="24"/>
        </w:rPr>
        <w:br/>
      </w:r>
    </w:p>
    <w:p w14:paraId="018166A3" w14:textId="49DDFE66" w:rsidR="00AD651F" w:rsidRDefault="00AD651F">
      <w:pPr>
        <w:rPr>
          <w:rFonts w:ascii="Arial" w:hAnsi="Arial" w:cs="Arial"/>
          <w:b/>
          <w:bCs/>
          <w:sz w:val="28"/>
          <w:szCs w:val="24"/>
        </w:rPr>
      </w:pPr>
      <w:r>
        <w:rPr>
          <w:rFonts w:ascii="Arial" w:hAnsi="Arial" w:cs="Arial"/>
          <w:b/>
          <w:bCs/>
          <w:sz w:val="28"/>
          <w:szCs w:val="24"/>
        </w:rPr>
        <w:t>Key Partnerships</w:t>
      </w:r>
    </w:p>
    <w:p w14:paraId="475C7FA8" w14:textId="77777777" w:rsidR="00AD651F" w:rsidRDefault="00AD651F">
      <w:pPr>
        <w:rPr>
          <w:rFonts w:ascii="Arial" w:hAnsi="Arial" w:cs="Arial"/>
          <w:bCs/>
          <w:sz w:val="24"/>
          <w:szCs w:val="20"/>
        </w:rPr>
      </w:pPr>
      <w:r>
        <w:rPr>
          <w:rFonts w:ascii="Arial" w:hAnsi="Arial" w:cs="Arial"/>
          <w:bCs/>
          <w:sz w:val="24"/>
          <w:szCs w:val="20"/>
        </w:rPr>
        <w:t xml:space="preserve">Partners will be asked to detail any key partnerships they have at a local level, and how they have worked with those partners. This will enable us to understand their project in more detail and possibly make wider National links with relevant organisations. </w:t>
      </w:r>
    </w:p>
    <w:p w14:paraId="429A3855" w14:textId="6114F32E" w:rsidR="00AD651F" w:rsidRDefault="00AD651F" w:rsidP="00AD651F">
      <w:pPr>
        <w:rPr>
          <w:rFonts w:ascii="Arial" w:hAnsi="Arial" w:cs="Arial"/>
          <w:sz w:val="24"/>
        </w:rPr>
      </w:pPr>
      <w:r>
        <w:rPr>
          <w:rFonts w:ascii="Arial" w:hAnsi="Arial" w:cs="Arial"/>
          <w:bCs/>
          <w:sz w:val="24"/>
          <w:szCs w:val="20"/>
        </w:rPr>
        <w:t xml:space="preserve">Partners use the </w:t>
      </w:r>
      <w:r w:rsidRPr="00B24E3E">
        <w:rPr>
          <w:rFonts w:ascii="Arial" w:hAnsi="Arial" w:cs="Arial"/>
          <w:b/>
          <w:bCs/>
          <w:i/>
          <w:iCs/>
          <w:sz w:val="24"/>
        </w:rPr>
        <w:t>Ping 20</w:t>
      </w:r>
      <w:r w:rsidR="00DA5E93">
        <w:rPr>
          <w:rFonts w:ascii="Arial" w:hAnsi="Arial" w:cs="Arial"/>
          <w:b/>
          <w:bCs/>
          <w:i/>
          <w:iCs/>
          <w:sz w:val="24"/>
        </w:rPr>
        <w:t>21</w:t>
      </w:r>
      <w:r w:rsidRPr="00B24E3E">
        <w:rPr>
          <w:rFonts w:ascii="Arial" w:hAnsi="Arial" w:cs="Arial"/>
          <w:b/>
          <w:bCs/>
          <w:i/>
          <w:iCs/>
          <w:sz w:val="24"/>
        </w:rPr>
        <w:t xml:space="preserve"> Monitoring and Evaluation Template</w:t>
      </w:r>
      <w:r>
        <w:rPr>
          <w:rFonts w:ascii="Arial" w:hAnsi="Arial" w:cs="Arial"/>
          <w:i/>
          <w:iCs/>
          <w:sz w:val="24"/>
        </w:rPr>
        <w:t xml:space="preserve"> </w:t>
      </w:r>
      <w:r>
        <w:rPr>
          <w:rFonts w:ascii="Arial" w:hAnsi="Arial" w:cs="Arial"/>
          <w:sz w:val="24"/>
        </w:rPr>
        <w:t xml:space="preserve">document and complete the </w:t>
      </w:r>
      <w:r>
        <w:rPr>
          <w:rFonts w:ascii="Arial" w:hAnsi="Arial" w:cs="Arial"/>
          <w:i/>
          <w:iCs/>
          <w:sz w:val="24"/>
        </w:rPr>
        <w:t xml:space="preserve">“Key Partnerships” </w:t>
      </w:r>
      <w:r>
        <w:rPr>
          <w:rFonts w:ascii="Arial" w:hAnsi="Arial" w:cs="Arial"/>
          <w:sz w:val="24"/>
        </w:rPr>
        <w:t>tab if applicable.</w:t>
      </w:r>
      <w:r w:rsidR="00E60BBE">
        <w:rPr>
          <w:rFonts w:ascii="Arial" w:hAnsi="Arial" w:cs="Arial"/>
          <w:sz w:val="24"/>
        </w:rPr>
        <w:br/>
      </w:r>
    </w:p>
    <w:p w14:paraId="23094223" w14:textId="353B0DD6" w:rsidR="00E60BBE" w:rsidRDefault="00E60BBE" w:rsidP="00AD651F">
      <w:pPr>
        <w:rPr>
          <w:rFonts w:ascii="Arial" w:hAnsi="Arial" w:cs="Arial"/>
          <w:sz w:val="24"/>
        </w:rPr>
      </w:pPr>
    </w:p>
    <w:p w14:paraId="358E8B68" w14:textId="77777777" w:rsidR="00E60BBE" w:rsidRDefault="00E60BBE" w:rsidP="00AD651F">
      <w:pPr>
        <w:rPr>
          <w:rFonts w:ascii="Arial" w:hAnsi="Arial" w:cs="Arial"/>
          <w:sz w:val="24"/>
        </w:rPr>
      </w:pPr>
    </w:p>
    <w:p w14:paraId="185DA041" w14:textId="77777777" w:rsidR="00E60BBE" w:rsidRDefault="00E60BBE">
      <w:pPr>
        <w:rPr>
          <w:rFonts w:ascii="Arial" w:hAnsi="Arial" w:cs="Arial"/>
          <w:b/>
          <w:sz w:val="28"/>
        </w:rPr>
      </w:pPr>
      <w:r>
        <w:rPr>
          <w:rFonts w:ascii="Arial" w:hAnsi="Arial" w:cs="Arial"/>
          <w:b/>
          <w:sz w:val="28"/>
        </w:rPr>
        <w:lastRenderedPageBreak/>
        <w:t>Additional M&amp;E</w:t>
      </w:r>
    </w:p>
    <w:p w14:paraId="46E2D334" w14:textId="77777777" w:rsidR="00E60BBE" w:rsidRDefault="00E60BBE">
      <w:pPr>
        <w:rPr>
          <w:rFonts w:ascii="Arial" w:hAnsi="Arial" w:cs="Arial"/>
          <w:bCs/>
          <w:sz w:val="24"/>
          <w:szCs w:val="20"/>
        </w:rPr>
      </w:pPr>
      <w:r>
        <w:rPr>
          <w:rFonts w:ascii="Arial" w:hAnsi="Arial" w:cs="Arial"/>
          <w:bCs/>
          <w:sz w:val="24"/>
          <w:szCs w:val="20"/>
        </w:rPr>
        <w:t>Partners may collect additional M&amp;E that we don’t ask them to report on. Knowing this information will help us understand the extent and impact of their project.</w:t>
      </w:r>
    </w:p>
    <w:p w14:paraId="214D9EB1" w14:textId="54C6FB1D" w:rsidR="00D31B8B" w:rsidRPr="00F52B7E" w:rsidRDefault="00E60BBE">
      <w:pPr>
        <w:rPr>
          <w:rFonts w:ascii="Arial" w:hAnsi="Arial" w:cs="Arial"/>
          <w:sz w:val="24"/>
        </w:rPr>
      </w:pPr>
      <w:r>
        <w:rPr>
          <w:rFonts w:ascii="Arial" w:hAnsi="Arial" w:cs="Arial"/>
          <w:bCs/>
          <w:sz w:val="24"/>
          <w:szCs w:val="20"/>
        </w:rPr>
        <w:t xml:space="preserve">Partners use the </w:t>
      </w:r>
      <w:r w:rsidRPr="00B24E3E">
        <w:rPr>
          <w:rFonts w:ascii="Arial" w:hAnsi="Arial" w:cs="Arial"/>
          <w:b/>
          <w:bCs/>
          <w:i/>
          <w:iCs/>
          <w:sz w:val="24"/>
        </w:rPr>
        <w:t>Ping 20</w:t>
      </w:r>
      <w:r w:rsidR="00DA5E93">
        <w:rPr>
          <w:rFonts w:ascii="Arial" w:hAnsi="Arial" w:cs="Arial"/>
          <w:b/>
          <w:bCs/>
          <w:i/>
          <w:iCs/>
          <w:sz w:val="24"/>
        </w:rPr>
        <w:t>21</w:t>
      </w:r>
      <w:r w:rsidRPr="00B24E3E">
        <w:rPr>
          <w:rFonts w:ascii="Arial" w:hAnsi="Arial" w:cs="Arial"/>
          <w:b/>
          <w:bCs/>
          <w:i/>
          <w:iCs/>
          <w:sz w:val="24"/>
        </w:rPr>
        <w:t xml:space="preserve"> Monitoring and Evaluation Template</w:t>
      </w:r>
      <w:r>
        <w:rPr>
          <w:rFonts w:ascii="Arial" w:hAnsi="Arial" w:cs="Arial"/>
          <w:i/>
          <w:iCs/>
          <w:sz w:val="24"/>
        </w:rPr>
        <w:t xml:space="preserve"> </w:t>
      </w:r>
      <w:r>
        <w:rPr>
          <w:rFonts w:ascii="Arial" w:hAnsi="Arial" w:cs="Arial"/>
          <w:sz w:val="24"/>
        </w:rPr>
        <w:t xml:space="preserve">document and complete the </w:t>
      </w:r>
      <w:r>
        <w:rPr>
          <w:rFonts w:ascii="Arial" w:hAnsi="Arial" w:cs="Arial"/>
          <w:i/>
          <w:iCs/>
          <w:sz w:val="24"/>
        </w:rPr>
        <w:t xml:space="preserve">“Additional M&amp;E” </w:t>
      </w:r>
      <w:r>
        <w:rPr>
          <w:rFonts w:ascii="Arial" w:hAnsi="Arial" w:cs="Arial"/>
          <w:sz w:val="24"/>
        </w:rPr>
        <w:t>tab if applicable.</w:t>
      </w:r>
      <w:r w:rsidR="00F52B7E">
        <w:rPr>
          <w:rFonts w:ascii="Arial" w:hAnsi="Arial" w:cs="Arial"/>
          <w:sz w:val="24"/>
        </w:rPr>
        <w:br/>
      </w:r>
    </w:p>
    <w:p w14:paraId="1178F442" w14:textId="73190123" w:rsidR="005C1E49" w:rsidRPr="005C1E49" w:rsidRDefault="006C7CAE">
      <w:pPr>
        <w:rPr>
          <w:rFonts w:ascii="Arial" w:hAnsi="Arial" w:cs="Arial"/>
          <w:b/>
          <w:sz w:val="28"/>
        </w:rPr>
      </w:pPr>
      <w:r>
        <w:rPr>
          <w:rFonts w:ascii="Arial" w:hAnsi="Arial" w:cs="Arial"/>
          <w:b/>
          <w:sz w:val="28"/>
        </w:rPr>
        <w:t>Participant Survey</w:t>
      </w:r>
    </w:p>
    <w:p w14:paraId="716B05F7" w14:textId="24F34F9B" w:rsidR="005C1E49" w:rsidRDefault="006C7CAE">
      <w:pPr>
        <w:rPr>
          <w:rFonts w:ascii="Arial" w:hAnsi="Arial" w:cs="Arial"/>
          <w:sz w:val="24"/>
        </w:rPr>
      </w:pPr>
      <w:r>
        <w:rPr>
          <w:rFonts w:ascii="Arial" w:hAnsi="Arial" w:cs="Arial"/>
          <w:sz w:val="24"/>
        </w:rPr>
        <w:t>Partners</w:t>
      </w:r>
      <w:r w:rsidR="00DF0E1E">
        <w:rPr>
          <w:rFonts w:ascii="Arial" w:hAnsi="Arial" w:cs="Arial"/>
          <w:sz w:val="24"/>
        </w:rPr>
        <w:t xml:space="preserve"> will be supplied with a short survey for them to ask participants to complete. Included on this survey will be a question to determine their current level of activity, and whether they are inactive. Partners will be required to collect </w:t>
      </w:r>
      <w:r w:rsidR="009D5D0B">
        <w:rPr>
          <w:rFonts w:ascii="Arial" w:hAnsi="Arial" w:cs="Arial"/>
          <w:sz w:val="24"/>
        </w:rPr>
        <w:t xml:space="preserve">at </w:t>
      </w:r>
      <w:r w:rsidR="009D5D0B" w:rsidRPr="00D83E35">
        <w:rPr>
          <w:rFonts w:ascii="Arial" w:hAnsi="Arial" w:cs="Arial"/>
          <w:b/>
          <w:bCs/>
          <w:sz w:val="24"/>
        </w:rPr>
        <w:t>least</w:t>
      </w:r>
      <w:r w:rsidR="00DF0E1E" w:rsidRPr="00D83E35">
        <w:rPr>
          <w:rFonts w:ascii="Arial" w:hAnsi="Arial" w:cs="Arial"/>
          <w:b/>
          <w:bCs/>
          <w:sz w:val="24"/>
        </w:rPr>
        <w:t xml:space="preserve"> 20 surveys</w:t>
      </w:r>
      <w:r w:rsidR="00DF0E1E">
        <w:rPr>
          <w:rFonts w:ascii="Arial" w:hAnsi="Arial" w:cs="Arial"/>
          <w:sz w:val="24"/>
        </w:rPr>
        <w:t>.</w:t>
      </w:r>
    </w:p>
    <w:p w14:paraId="4618BF00" w14:textId="59E15696" w:rsidR="000E0896" w:rsidRDefault="000E0896">
      <w:pPr>
        <w:rPr>
          <w:rFonts w:ascii="Arial" w:hAnsi="Arial" w:cs="Arial"/>
          <w:sz w:val="24"/>
        </w:rPr>
      </w:pPr>
      <w:r>
        <w:rPr>
          <w:rFonts w:ascii="Arial" w:hAnsi="Arial" w:cs="Arial"/>
          <w:sz w:val="24"/>
        </w:rPr>
        <w:t>A follow up survey will be sent to those participants who provide their email addresses in the initial survey collected by partners, approximately 3 months after their initial survey is completed. The survey will ask about their physical activity levels to determine if participants who were inactive are more active and if participants have increased their physical activity levels. The survey will also ask about regular engagement in table tennis.</w:t>
      </w:r>
      <w:r>
        <w:rPr>
          <w:rFonts w:ascii="Arial" w:hAnsi="Arial" w:cs="Arial"/>
          <w:sz w:val="24"/>
        </w:rPr>
        <w:br/>
      </w:r>
    </w:p>
    <w:p w14:paraId="304DDBEE" w14:textId="55B57B18" w:rsidR="004B3294" w:rsidRPr="004B3294" w:rsidRDefault="004B3294">
      <w:pPr>
        <w:rPr>
          <w:rFonts w:ascii="Arial" w:hAnsi="Arial" w:cs="Arial"/>
          <w:b/>
          <w:sz w:val="28"/>
        </w:rPr>
      </w:pPr>
      <w:r>
        <w:rPr>
          <w:rFonts w:ascii="Arial" w:hAnsi="Arial" w:cs="Arial"/>
          <w:b/>
          <w:sz w:val="28"/>
        </w:rPr>
        <w:t>Monitoring</w:t>
      </w:r>
      <w:r w:rsidRPr="004B3294">
        <w:rPr>
          <w:rFonts w:ascii="Arial" w:hAnsi="Arial" w:cs="Arial"/>
          <w:b/>
          <w:sz w:val="28"/>
        </w:rPr>
        <w:t xml:space="preserve"> Other </w:t>
      </w:r>
      <w:r>
        <w:rPr>
          <w:rFonts w:ascii="Arial" w:hAnsi="Arial" w:cs="Arial"/>
          <w:b/>
          <w:sz w:val="28"/>
        </w:rPr>
        <w:t xml:space="preserve">TTE </w:t>
      </w:r>
      <w:r w:rsidRPr="004B3294">
        <w:rPr>
          <w:rFonts w:ascii="Arial" w:hAnsi="Arial" w:cs="Arial"/>
          <w:b/>
          <w:sz w:val="28"/>
        </w:rPr>
        <w:t>Projects</w:t>
      </w:r>
    </w:p>
    <w:p w14:paraId="4BD4FFFF" w14:textId="622A4BD9" w:rsidR="006C7CAE" w:rsidRDefault="004B3294">
      <w:pPr>
        <w:rPr>
          <w:rFonts w:ascii="Arial" w:hAnsi="Arial" w:cs="Arial"/>
          <w:sz w:val="24"/>
        </w:rPr>
      </w:pPr>
      <w:r>
        <w:rPr>
          <w:rFonts w:ascii="Arial" w:hAnsi="Arial" w:cs="Arial"/>
          <w:sz w:val="24"/>
        </w:rPr>
        <w:t xml:space="preserve">If partners utilise other TTE projects as part of their Ping project – </w:t>
      </w:r>
      <w:proofErr w:type="gramStart"/>
      <w:r>
        <w:rPr>
          <w:rFonts w:ascii="Arial" w:hAnsi="Arial" w:cs="Arial"/>
          <w:sz w:val="24"/>
        </w:rPr>
        <w:t>i.e.</w:t>
      </w:r>
      <w:proofErr w:type="gramEnd"/>
      <w:r>
        <w:rPr>
          <w:rFonts w:ascii="Arial" w:hAnsi="Arial" w:cs="Arial"/>
          <w:sz w:val="24"/>
        </w:rPr>
        <w:t xml:space="preserve"> Ping Pong Parlours, Ping in the Community or Loop at Work – these projects have their own monitoring and evaluation tools to measure participants, inactivity and demographics. </w:t>
      </w:r>
      <w:r w:rsidR="00F8175E">
        <w:rPr>
          <w:rFonts w:ascii="Arial" w:hAnsi="Arial" w:cs="Arial"/>
          <w:sz w:val="24"/>
        </w:rPr>
        <w:t>Data collected for specific projects can be shared with the partner where available</w:t>
      </w:r>
      <w:r w:rsidR="00DE1C50">
        <w:rPr>
          <w:rFonts w:ascii="Arial" w:hAnsi="Arial" w:cs="Arial"/>
          <w:sz w:val="24"/>
        </w:rPr>
        <w:t xml:space="preserve"> through a personalised infographic.</w:t>
      </w:r>
      <w:r w:rsidR="00DE1C50">
        <w:rPr>
          <w:rFonts w:ascii="Arial" w:hAnsi="Arial" w:cs="Arial"/>
          <w:sz w:val="24"/>
        </w:rPr>
        <w:br/>
      </w:r>
    </w:p>
    <w:p w14:paraId="1AC4F56E" w14:textId="564F4FC1" w:rsidR="006C7CAE" w:rsidRPr="006C7CAE" w:rsidRDefault="006C7CAE">
      <w:pPr>
        <w:rPr>
          <w:rFonts w:ascii="Arial" w:hAnsi="Arial" w:cs="Arial"/>
          <w:b/>
          <w:bCs/>
          <w:sz w:val="32"/>
          <w:szCs w:val="28"/>
        </w:rPr>
      </w:pPr>
      <w:r w:rsidRPr="006C7CAE">
        <w:rPr>
          <w:rFonts w:ascii="Arial" w:hAnsi="Arial" w:cs="Arial"/>
          <w:b/>
          <w:bCs/>
          <w:sz w:val="32"/>
          <w:szCs w:val="28"/>
        </w:rPr>
        <w:t>Deadlines</w:t>
      </w:r>
    </w:p>
    <w:p w14:paraId="730DEDF3" w14:textId="16FD9C07" w:rsidR="006C7CAE" w:rsidRDefault="006C7CAE" w:rsidP="006C7CAE">
      <w:pPr>
        <w:rPr>
          <w:rFonts w:ascii="Arial" w:hAnsi="Arial" w:cs="Arial"/>
          <w:b/>
          <w:bCs/>
          <w:sz w:val="24"/>
        </w:rPr>
      </w:pPr>
      <w:r>
        <w:rPr>
          <w:rFonts w:ascii="Arial" w:hAnsi="Arial" w:cs="Arial"/>
          <w:b/>
          <w:bCs/>
          <w:sz w:val="24"/>
        </w:rPr>
        <w:t>30</w:t>
      </w:r>
      <w:r w:rsidRPr="006C7CAE">
        <w:rPr>
          <w:rFonts w:ascii="Arial" w:hAnsi="Arial" w:cs="Arial"/>
          <w:b/>
          <w:bCs/>
          <w:sz w:val="24"/>
          <w:vertAlign w:val="superscript"/>
        </w:rPr>
        <w:t>th</w:t>
      </w:r>
      <w:r>
        <w:rPr>
          <w:rFonts w:ascii="Arial" w:hAnsi="Arial" w:cs="Arial"/>
          <w:b/>
          <w:bCs/>
          <w:sz w:val="24"/>
        </w:rPr>
        <w:t xml:space="preserve"> September 20</w:t>
      </w:r>
      <w:r w:rsidR="00DA5E93">
        <w:rPr>
          <w:rFonts w:ascii="Arial" w:hAnsi="Arial" w:cs="Arial"/>
          <w:b/>
          <w:bCs/>
          <w:sz w:val="24"/>
        </w:rPr>
        <w:t>21</w:t>
      </w:r>
    </w:p>
    <w:p w14:paraId="3E999EA7" w14:textId="05868624" w:rsidR="006C7CAE" w:rsidRDefault="006C7CAE" w:rsidP="006C7CAE">
      <w:pPr>
        <w:pStyle w:val="ListParagraph"/>
        <w:numPr>
          <w:ilvl w:val="0"/>
          <w:numId w:val="2"/>
        </w:numPr>
        <w:rPr>
          <w:rFonts w:ascii="Arial" w:hAnsi="Arial" w:cs="Arial"/>
          <w:sz w:val="24"/>
        </w:rPr>
      </w:pPr>
      <w:r>
        <w:rPr>
          <w:rFonts w:ascii="Arial" w:hAnsi="Arial" w:cs="Arial"/>
          <w:sz w:val="24"/>
        </w:rPr>
        <w:t>Return table monitoring information (if applicable) or confirm the number of public tables available (if not completing table monitoring)</w:t>
      </w:r>
    </w:p>
    <w:p w14:paraId="14D4C9A1" w14:textId="03F59A34" w:rsidR="00D31B8B" w:rsidRDefault="00D31B8B" w:rsidP="006C7CAE">
      <w:pPr>
        <w:pStyle w:val="ListParagraph"/>
        <w:numPr>
          <w:ilvl w:val="0"/>
          <w:numId w:val="2"/>
        </w:numPr>
        <w:rPr>
          <w:rFonts w:ascii="Arial" w:hAnsi="Arial" w:cs="Arial"/>
          <w:sz w:val="24"/>
        </w:rPr>
      </w:pPr>
      <w:r>
        <w:rPr>
          <w:rFonts w:ascii="Arial" w:hAnsi="Arial" w:cs="Arial"/>
          <w:sz w:val="24"/>
        </w:rPr>
        <w:t>Any table donations made since April 2019</w:t>
      </w:r>
    </w:p>
    <w:p w14:paraId="00295D30" w14:textId="1C8E032D" w:rsidR="000E0896" w:rsidRDefault="000E0896" w:rsidP="006C7CAE">
      <w:pPr>
        <w:pStyle w:val="ListParagraph"/>
        <w:numPr>
          <w:ilvl w:val="0"/>
          <w:numId w:val="2"/>
        </w:numPr>
        <w:rPr>
          <w:rFonts w:ascii="Arial" w:hAnsi="Arial" w:cs="Arial"/>
          <w:sz w:val="24"/>
        </w:rPr>
      </w:pPr>
      <w:r>
        <w:rPr>
          <w:rFonts w:ascii="Arial" w:hAnsi="Arial" w:cs="Arial"/>
          <w:sz w:val="24"/>
        </w:rPr>
        <w:t>Information on any Key Partnerships</w:t>
      </w:r>
    </w:p>
    <w:p w14:paraId="0F1CA560" w14:textId="0FBAC27D" w:rsidR="000E0896" w:rsidRDefault="000E0896" w:rsidP="006C7CAE">
      <w:pPr>
        <w:pStyle w:val="ListParagraph"/>
        <w:numPr>
          <w:ilvl w:val="0"/>
          <w:numId w:val="2"/>
        </w:numPr>
        <w:rPr>
          <w:rFonts w:ascii="Arial" w:hAnsi="Arial" w:cs="Arial"/>
          <w:sz w:val="24"/>
        </w:rPr>
      </w:pPr>
      <w:r>
        <w:rPr>
          <w:rFonts w:ascii="Arial" w:hAnsi="Arial" w:cs="Arial"/>
          <w:sz w:val="24"/>
        </w:rPr>
        <w:t>Any additional M&amp;E</w:t>
      </w:r>
    </w:p>
    <w:p w14:paraId="0AC3FCD2" w14:textId="6C09821D" w:rsidR="000E0896" w:rsidRPr="006C7CAE" w:rsidRDefault="000E0896" w:rsidP="006C7CAE">
      <w:pPr>
        <w:pStyle w:val="ListParagraph"/>
        <w:numPr>
          <w:ilvl w:val="0"/>
          <w:numId w:val="2"/>
        </w:numPr>
        <w:rPr>
          <w:rFonts w:ascii="Arial" w:hAnsi="Arial" w:cs="Arial"/>
          <w:sz w:val="24"/>
        </w:rPr>
      </w:pPr>
      <w:r>
        <w:rPr>
          <w:rFonts w:ascii="Arial" w:hAnsi="Arial" w:cs="Arial"/>
          <w:sz w:val="24"/>
        </w:rPr>
        <w:t>Any completed participant surveys</w:t>
      </w:r>
    </w:p>
    <w:p w14:paraId="408FFD04" w14:textId="18F8E307" w:rsidR="006C7CAE" w:rsidRDefault="006C7CAE" w:rsidP="006C7CAE">
      <w:pPr>
        <w:rPr>
          <w:rFonts w:ascii="Arial" w:hAnsi="Arial" w:cs="Arial"/>
          <w:b/>
          <w:bCs/>
          <w:sz w:val="24"/>
        </w:rPr>
      </w:pPr>
      <w:r>
        <w:rPr>
          <w:rFonts w:ascii="Arial" w:hAnsi="Arial" w:cs="Arial"/>
          <w:b/>
          <w:bCs/>
          <w:sz w:val="24"/>
        </w:rPr>
        <w:t>2</w:t>
      </w:r>
      <w:r w:rsidR="00DA5E93">
        <w:rPr>
          <w:rFonts w:ascii="Arial" w:hAnsi="Arial" w:cs="Arial"/>
          <w:b/>
          <w:bCs/>
          <w:sz w:val="24"/>
        </w:rPr>
        <w:t>5</w:t>
      </w:r>
      <w:r w:rsidRPr="006C7CAE">
        <w:rPr>
          <w:rFonts w:ascii="Arial" w:hAnsi="Arial" w:cs="Arial"/>
          <w:b/>
          <w:bCs/>
          <w:sz w:val="24"/>
          <w:vertAlign w:val="superscript"/>
        </w:rPr>
        <w:t>th</w:t>
      </w:r>
      <w:r>
        <w:rPr>
          <w:rFonts w:ascii="Arial" w:hAnsi="Arial" w:cs="Arial"/>
          <w:b/>
          <w:bCs/>
          <w:sz w:val="24"/>
        </w:rPr>
        <w:t xml:space="preserve"> February 202</w:t>
      </w:r>
      <w:r w:rsidR="00DA5E93">
        <w:rPr>
          <w:rFonts w:ascii="Arial" w:hAnsi="Arial" w:cs="Arial"/>
          <w:b/>
          <w:bCs/>
          <w:sz w:val="24"/>
        </w:rPr>
        <w:t>2</w:t>
      </w:r>
    </w:p>
    <w:p w14:paraId="397569F7" w14:textId="01FF26B2" w:rsidR="00D37853" w:rsidRPr="00D37853" w:rsidRDefault="00D37853" w:rsidP="00D37853">
      <w:pPr>
        <w:pStyle w:val="ListParagraph"/>
        <w:numPr>
          <w:ilvl w:val="0"/>
          <w:numId w:val="2"/>
        </w:numPr>
        <w:rPr>
          <w:rFonts w:ascii="Arial" w:hAnsi="Arial" w:cs="Arial"/>
          <w:sz w:val="24"/>
        </w:rPr>
      </w:pPr>
      <w:r>
        <w:rPr>
          <w:rFonts w:ascii="Arial" w:hAnsi="Arial" w:cs="Arial"/>
          <w:sz w:val="24"/>
        </w:rPr>
        <w:t>Return table monitoring information (if applicable) or confirm the number of public tables available (if not completing table monitoring)</w:t>
      </w:r>
    </w:p>
    <w:p w14:paraId="2FB73B43" w14:textId="06A31551" w:rsidR="006C7CAE" w:rsidRDefault="006C7CAE" w:rsidP="006C7CAE">
      <w:pPr>
        <w:pStyle w:val="ListParagraph"/>
        <w:numPr>
          <w:ilvl w:val="0"/>
          <w:numId w:val="2"/>
        </w:numPr>
        <w:rPr>
          <w:rFonts w:ascii="Arial" w:hAnsi="Arial" w:cs="Arial"/>
          <w:sz w:val="24"/>
        </w:rPr>
      </w:pPr>
      <w:r>
        <w:rPr>
          <w:rFonts w:ascii="Arial" w:hAnsi="Arial" w:cs="Arial"/>
          <w:sz w:val="24"/>
        </w:rPr>
        <w:t>All partners to confirm the number of public tables available</w:t>
      </w:r>
    </w:p>
    <w:p w14:paraId="6E6E8696" w14:textId="77777777" w:rsidR="000E0896" w:rsidRDefault="00D31B8B" w:rsidP="006C7CAE">
      <w:pPr>
        <w:pStyle w:val="ListParagraph"/>
        <w:numPr>
          <w:ilvl w:val="0"/>
          <w:numId w:val="2"/>
        </w:numPr>
        <w:rPr>
          <w:rFonts w:ascii="Arial" w:hAnsi="Arial" w:cs="Arial"/>
          <w:sz w:val="24"/>
        </w:rPr>
      </w:pPr>
      <w:r>
        <w:rPr>
          <w:rFonts w:ascii="Arial" w:hAnsi="Arial" w:cs="Arial"/>
          <w:sz w:val="24"/>
        </w:rPr>
        <w:t>Any table donations made since September 2019 (last reporting)</w:t>
      </w:r>
    </w:p>
    <w:p w14:paraId="0D04F8B4" w14:textId="77777777" w:rsidR="000E0896" w:rsidRDefault="000E0896" w:rsidP="006C7CAE">
      <w:pPr>
        <w:pStyle w:val="ListParagraph"/>
        <w:numPr>
          <w:ilvl w:val="0"/>
          <w:numId w:val="2"/>
        </w:numPr>
        <w:rPr>
          <w:rFonts w:ascii="Arial" w:hAnsi="Arial" w:cs="Arial"/>
          <w:sz w:val="24"/>
        </w:rPr>
      </w:pPr>
      <w:r>
        <w:rPr>
          <w:rFonts w:ascii="Arial" w:hAnsi="Arial" w:cs="Arial"/>
          <w:sz w:val="24"/>
        </w:rPr>
        <w:t>Information on any Key Partnerships (new or developed)</w:t>
      </w:r>
    </w:p>
    <w:p w14:paraId="58DD7B14" w14:textId="77777777" w:rsidR="000E0896" w:rsidRDefault="000E0896" w:rsidP="006C7CAE">
      <w:pPr>
        <w:pStyle w:val="ListParagraph"/>
        <w:numPr>
          <w:ilvl w:val="0"/>
          <w:numId w:val="2"/>
        </w:numPr>
        <w:rPr>
          <w:rFonts w:ascii="Arial" w:hAnsi="Arial" w:cs="Arial"/>
          <w:sz w:val="24"/>
        </w:rPr>
      </w:pPr>
      <w:r>
        <w:rPr>
          <w:rFonts w:ascii="Arial" w:hAnsi="Arial" w:cs="Arial"/>
          <w:sz w:val="24"/>
        </w:rPr>
        <w:lastRenderedPageBreak/>
        <w:t>Any additional M&amp;E</w:t>
      </w:r>
    </w:p>
    <w:p w14:paraId="2B42C000" w14:textId="313F9C6F" w:rsidR="00D31B8B" w:rsidRPr="006C7CAE" w:rsidRDefault="000E0896" w:rsidP="006C7CAE">
      <w:pPr>
        <w:pStyle w:val="ListParagraph"/>
        <w:numPr>
          <w:ilvl w:val="0"/>
          <w:numId w:val="2"/>
        </w:numPr>
        <w:rPr>
          <w:rFonts w:ascii="Arial" w:hAnsi="Arial" w:cs="Arial"/>
          <w:sz w:val="24"/>
        </w:rPr>
      </w:pPr>
      <w:r>
        <w:rPr>
          <w:rFonts w:ascii="Arial" w:hAnsi="Arial" w:cs="Arial"/>
          <w:sz w:val="24"/>
        </w:rPr>
        <w:t>Any completed participant surveys</w:t>
      </w:r>
      <w:r w:rsidR="00F52B7E">
        <w:rPr>
          <w:rFonts w:ascii="Arial" w:hAnsi="Arial" w:cs="Arial"/>
          <w:sz w:val="24"/>
        </w:rPr>
        <w:br/>
      </w:r>
    </w:p>
    <w:p w14:paraId="0930B85B" w14:textId="4F325BF5" w:rsidR="006C7CAE" w:rsidRDefault="00F52B7E">
      <w:pPr>
        <w:rPr>
          <w:rFonts w:ascii="Arial" w:hAnsi="Arial" w:cs="Arial"/>
          <w:b/>
          <w:bCs/>
          <w:sz w:val="28"/>
          <w:szCs w:val="24"/>
        </w:rPr>
      </w:pPr>
      <w:r>
        <w:rPr>
          <w:rFonts w:ascii="Arial" w:hAnsi="Arial" w:cs="Arial"/>
          <w:b/>
          <w:bCs/>
          <w:sz w:val="28"/>
          <w:szCs w:val="24"/>
        </w:rPr>
        <w:t>Sport England Targets</w:t>
      </w:r>
    </w:p>
    <w:p w14:paraId="59FE9653" w14:textId="4406D386" w:rsidR="00F52B7E" w:rsidRDefault="00F52B7E">
      <w:pPr>
        <w:rPr>
          <w:rFonts w:ascii="Arial" w:hAnsi="Arial" w:cs="Arial"/>
          <w:sz w:val="24"/>
        </w:rPr>
      </w:pPr>
      <w:r w:rsidRPr="00F52B7E">
        <w:rPr>
          <w:rFonts w:ascii="Arial" w:hAnsi="Arial" w:cs="Arial"/>
          <w:b/>
          <w:bCs/>
          <w:sz w:val="24"/>
        </w:rPr>
        <w:t>Inactivity</w:t>
      </w:r>
      <w:r>
        <w:rPr>
          <w:rFonts w:ascii="Arial" w:hAnsi="Arial" w:cs="Arial"/>
          <w:sz w:val="24"/>
        </w:rPr>
        <w:t xml:space="preserve"> – Participant Survey</w:t>
      </w:r>
    </w:p>
    <w:p w14:paraId="257CE97C" w14:textId="3EB6F22C" w:rsidR="00F52B7E" w:rsidRDefault="00F52B7E">
      <w:pPr>
        <w:rPr>
          <w:rFonts w:ascii="Arial" w:hAnsi="Arial" w:cs="Arial"/>
          <w:sz w:val="24"/>
        </w:rPr>
      </w:pPr>
      <w:r w:rsidRPr="00F52B7E">
        <w:rPr>
          <w:rFonts w:ascii="Arial" w:hAnsi="Arial" w:cs="Arial"/>
          <w:b/>
          <w:bCs/>
          <w:sz w:val="24"/>
        </w:rPr>
        <w:t>IMD</w:t>
      </w:r>
      <w:r>
        <w:rPr>
          <w:rFonts w:ascii="Arial" w:hAnsi="Arial" w:cs="Arial"/>
          <w:sz w:val="24"/>
        </w:rPr>
        <w:t xml:space="preserve"> – Postcode data from public table locations will be input into the English Indices of Deprivation tool, to determine the percentage of locations in the top 20% of deprived areas.</w:t>
      </w:r>
    </w:p>
    <w:p w14:paraId="14710AF3" w14:textId="7FD5F766" w:rsidR="00F52B7E" w:rsidRDefault="00F52B7E" w:rsidP="00F52B7E">
      <w:pPr>
        <w:rPr>
          <w:rFonts w:ascii="Arial" w:hAnsi="Arial" w:cs="Arial"/>
          <w:sz w:val="24"/>
        </w:rPr>
      </w:pPr>
      <w:r w:rsidRPr="00F52B7E">
        <w:rPr>
          <w:rFonts w:ascii="Arial" w:hAnsi="Arial" w:cs="Arial"/>
          <w:b/>
          <w:bCs/>
          <w:sz w:val="24"/>
        </w:rPr>
        <w:t>Active/More Active/Regularly Engage 3 Months Later</w:t>
      </w:r>
      <w:r>
        <w:rPr>
          <w:rFonts w:ascii="Arial" w:hAnsi="Arial" w:cs="Arial"/>
          <w:sz w:val="24"/>
        </w:rPr>
        <w:t xml:space="preserve"> </w:t>
      </w:r>
      <w:r w:rsidR="000E0896">
        <w:rPr>
          <w:rFonts w:ascii="Arial" w:hAnsi="Arial" w:cs="Arial"/>
          <w:sz w:val="24"/>
        </w:rPr>
        <w:t>–</w:t>
      </w:r>
      <w:r>
        <w:rPr>
          <w:rFonts w:ascii="Arial" w:hAnsi="Arial" w:cs="Arial"/>
          <w:sz w:val="24"/>
        </w:rPr>
        <w:t xml:space="preserve"> </w:t>
      </w:r>
      <w:r w:rsidR="000E0896">
        <w:rPr>
          <w:rFonts w:ascii="Arial" w:hAnsi="Arial" w:cs="Arial"/>
          <w:sz w:val="24"/>
        </w:rPr>
        <w:t>Follow up Survey</w:t>
      </w:r>
    </w:p>
    <w:p w14:paraId="5DD96921" w14:textId="13613D15" w:rsidR="00F52B7E" w:rsidRPr="00F52B7E" w:rsidRDefault="00F52B7E">
      <w:pPr>
        <w:rPr>
          <w:rFonts w:ascii="Arial" w:hAnsi="Arial" w:cs="Arial"/>
          <w:sz w:val="24"/>
        </w:rPr>
      </w:pPr>
    </w:p>
    <w:p w14:paraId="33CAA378" w14:textId="77777777" w:rsidR="005C1E49" w:rsidRPr="005C1E49" w:rsidRDefault="005C1E49">
      <w:pPr>
        <w:rPr>
          <w:rFonts w:ascii="Arial" w:hAnsi="Arial" w:cs="Arial"/>
          <w:sz w:val="24"/>
        </w:rPr>
      </w:pPr>
    </w:p>
    <w:p w14:paraId="49170D66" w14:textId="77777777" w:rsidR="005C1E49" w:rsidRPr="005C1E49" w:rsidRDefault="005C1E49">
      <w:pPr>
        <w:rPr>
          <w:rFonts w:ascii="Arial" w:hAnsi="Arial" w:cs="Arial"/>
          <w:b/>
          <w:sz w:val="24"/>
        </w:rPr>
      </w:pPr>
    </w:p>
    <w:sectPr w:rsidR="005C1E49" w:rsidRPr="005C1E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2BA4" w14:textId="77777777" w:rsidR="00374855" w:rsidRDefault="00374855" w:rsidP="005C1E49">
      <w:pPr>
        <w:spacing w:after="0" w:line="240" w:lineRule="auto"/>
      </w:pPr>
      <w:r>
        <w:separator/>
      </w:r>
    </w:p>
  </w:endnote>
  <w:endnote w:type="continuationSeparator" w:id="0">
    <w:p w14:paraId="25401238" w14:textId="77777777" w:rsidR="00374855" w:rsidRDefault="00374855" w:rsidP="005C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5960" w14:textId="77777777" w:rsidR="00374855" w:rsidRDefault="00374855" w:rsidP="005C1E49">
      <w:pPr>
        <w:spacing w:after="0" w:line="240" w:lineRule="auto"/>
      </w:pPr>
      <w:r>
        <w:separator/>
      </w:r>
    </w:p>
  </w:footnote>
  <w:footnote w:type="continuationSeparator" w:id="0">
    <w:p w14:paraId="140092EE" w14:textId="77777777" w:rsidR="00374855" w:rsidRDefault="00374855" w:rsidP="005C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3664" w14:textId="7983C1D1" w:rsidR="005C1E49" w:rsidRPr="005C1E49" w:rsidRDefault="005C1E49" w:rsidP="005C1E49">
    <w:pPr>
      <w:rPr>
        <w:rFonts w:ascii="Arial" w:hAnsi="Arial" w:cs="Arial"/>
        <w:b/>
        <w:sz w:val="28"/>
      </w:rPr>
    </w:pPr>
    <w:r>
      <w:rPr>
        <w:noProof/>
      </w:rPr>
      <w:drawing>
        <wp:anchor distT="0" distB="0" distL="114300" distR="114300" simplePos="0" relativeHeight="251658240" behindDoc="0" locked="0" layoutInCell="1" allowOverlap="1" wp14:anchorId="18838143" wp14:editId="6052B5D0">
          <wp:simplePos x="0" y="0"/>
          <wp:positionH relativeFrom="column">
            <wp:posOffset>5372100</wp:posOffset>
          </wp:positionH>
          <wp:positionV relativeFrom="paragraph">
            <wp:posOffset>-268605</wp:posOffset>
          </wp:positionV>
          <wp:extent cx="914400" cy="685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E49">
      <w:rPr>
        <w:rFonts w:ascii="Arial" w:hAnsi="Arial" w:cs="Arial"/>
        <w:b/>
        <w:sz w:val="28"/>
      </w:rPr>
      <w:t>Ping 20</w:t>
    </w:r>
    <w:r w:rsidR="00DA5E93">
      <w:rPr>
        <w:rFonts w:ascii="Arial" w:hAnsi="Arial" w:cs="Arial"/>
        <w:b/>
        <w:sz w:val="28"/>
      </w:rPr>
      <w:t>21</w:t>
    </w:r>
    <w:r w:rsidRPr="005C1E49">
      <w:rPr>
        <w:rFonts w:ascii="Arial" w:hAnsi="Arial" w:cs="Arial"/>
        <w:b/>
        <w:sz w:val="28"/>
      </w:rPr>
      <w:t xml:space="preserve"> Monitoring and Evaluation</w:t>
    </w:r>
    <w:r w:rsidRPr="005C1E49">
      <w:t xml:space="preserve"> </w:t>
    </w:r>
  </w:p>
  <w:p w14:paraId="7DA0C247" w14:textId="77777777" w:rsidR="005C1E49" w:rsidRDefault="005C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0A43"/>
    <w:multiLevelType w:val="hybridMultilevel"/>
    <w:tmpl w:val="46D2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176D7"/>
    <w:multiLevelType w:val="hybridMultilevel"/>
    <w:tmpl w:val="388E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49"/>
    <w:rsid w:val="00093280"/>
    <w:rsid w:val="000E0896"/>
    <w:rsid w:val="002223D8"/>
    <w:rsid w:val="0036206E"/>
    <w:rsid w:val="00373013"/>
    <w:rsid w:val="00374855"/>
    <w:rsid w:val="004148B9"/>
    <w:rsid w:val="004B3294"/>
    <w:rsid w:val="00583A47"/>
    <w:rsid w:val="005C1E49"/>
    <w:rsid w:val="006C7CAE"/>
    <w:rsid w:val="007A02D2"/>
    <w:rsid w:val="007B4A4E"/>
    <w:rsid w:val="00867CB5"/>
    <w:rsid w:val="00914D47"/>
    <w:rsid w:val="009247C6"/>
    <w:rsid w:val="009D5D0B"/>
    <w:rsid w:val="00AD651F"/>
    <w:rsid w:val="00B24E3E"/>
    <w:rsid w:val="00D31B8B"/>
    <w:rsid w:val="00D37853"/>
    <w:rsid w:val="00D83E35"/>
    <w:rsid w:val="00D87CFC"/>
    <w:rsid w:val="00DA5E93"/>
    <w:rsid w:val="00DE1C50"/>
    <w:rsid w:val="00DF0E1E"/>
    <w:rsid w:val="00E60BBE"/>
    <w:rsid w:val="00F52B7E"/>
    <w:rsid w:val="00F8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CB89"/>
  <w15:chartTrackingRefBased/>
  <w15:docId w15:val="{3CA2D407-6B42-4197-BA23-BD425F43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E49"/>
  </w:style>
  <w:style w:type="paragraph" w:styleId="Footer">
    <w:name w:val="footer"/>
    <w:basedOn w:val="Normal"/>
    <w:link w:val="FooterChar"/>
    <w:uiPriority w:val="99"/>
    <w:unhideWhenUsed/>
    <w:rsid w:val="005C1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49"/>
  </w:style>
  <w:style w:type="paragraph" w:styleId="ListParagraph">
    <w:name w:val="List Paragraph"/>
    <w:basedOn w:val="Normal"/>
    <w:uiPriority w:val="34"/>
    <w:qFormat/>
    <w:rsid w:val="00F8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Griffiths</dc:creator>
  <cp:keywords/>
  <dc:description/>
  <cp:lastModifiedBy>Colin Eley</cp:lastModifiedBy>
  <cp:revision>19</cp:revision>
  <dcterms:created xsi:type="dcterms:W3CDTF">2019-05-10T10:44:00Z</dcterms:created>
  <dcterms:modified xsi:type="dcterms:W3CDTF">2021-05-18T08:50:00Z</dcterms:modified>
</cp:coreProperties>
</file>