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B8C73" w14:textId="77777777" w:rsidR="00A01225" w:rsidRPr="00043B53" w:rsidRDefault="00A01225" w:rsidP="00043B53">
      <w:pPr>
        <w:spacing w:after="0" w:line="276" w:lineRule="auto"/>
        <w:contextualSpacing/>
        <w:rPr>
          <w:rFonts w:cstheme="minorHAnsi"/>
        </w:rPr>
      </w:pPr>
    </w:p>
    <w:p w14:paraId="58EA981F" w14:textId="77777777" w:rsidR="00195E27" w:rsidRPr="00043B53" w:rsidRDefault="00244492" w:rsidP="00AA53E7">
      <w:pPr>
        <w:tabs>
          <w:tab w:val="left" w:pos="0"/>
        </w:tabs>
        <w:spacing w:after="0" w:line="276" w:lineRule="auto"/>
        <w:ind w:hanging="426"/>
        <w:contextualSpacing/>
        <w:rPr>
          <w:rFonts w:cstheme="minorHAnsi"/>
        </w:rPr>
      </w:pPr>
      <w:r w:rsidRPr="00043B53">
        <w:rPr>
          <w:rFonts w:cstheme="minorHAnsi"/>
          <w:noProof/>
        </w:rPr>
        <w:drawing>
          <wp:inline distT="0" distB="0" distL="0" distR="0" wp14:anchorId="6689F4EC" wp14:editId="4ECC5B5C">
            <wp:extent cx="9822180" cy="5524976"/>
            <wp:effectExtent l="0" t="0" r="762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8826" cy="5528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729D6" w14:textId="77777777" w:rsidR="00244492" w:rsidRPr="00043B53" w:rsidRDefault="00244492" w:rsidP="00043B53">
      <w:pPr>
        <w:spacing w:after="0" w:line="276" w:lineRule="auto"/>
        <w:contextualSpacing/>
        <w:rPr>
          <w:rFonts w:cstheme="minorHAnsi"/>
        </w:rPr>
      </w:pPr>
    </w:p>
    <w:p w14:paraId="51012C29" w14:textId="77777777" w:rsidR="00244492" w:rsidRPr="00043B53" w:rsidRDefault="00244492" w:rsidP="00043B53">
      <w:pPr>
        <w:spacing w:after="0" w:line="276" w:lineRule="auto"/>
        <w:contextualSpacing/>
        <w:rPr>
          <w:rFonts w:cstheme="minorHAnsi"/>
        </w:rPr>
      </w:pPr>
    </w:p>
    <w:p w14:paraId="34261AF9" w14:textId="2011BEB3" w:rsidR="00AA53E7" w:rsidRPr="00AA53E7" w:rsidRDefault="00AA53E7" w:rsidP="00AA53E7">
      <w:pPr>
        <w:rPr>
          <w:rFonts w:cstheme="minorHAnsi"/>
        </w:rPr>
        <w:sectPr w:rsidR="00AA53E7" w:rsidRPr="00AA53E7" w:rsidSect="00195E27">
          <w:pgSz w:w="16838" w:h="11906" w:orient="landscape"/>
          <w:pgMar w:top="1021" w:right="1021" w:bottom="1021" w:left="1021" w:header="709" w:footer="709" w:gutter="0"/>
          <w:cols w:space="708"/>
          <w:docGrid w:linePitch="360"/>
        </w:sectPr>
      </w:pPr>
    </w:p>
    <w:p w14:paraId="0C6C98A1" w14:textId="0D8F2C14" w:rsidR="00043B53" w:rsidRPr="00AA53E7" w:rsidRDefault="00043B53" w:rsidP="00043B53">
      <w:pPr>
        <w:spacing w:after="0" w:line="276" w:lineRule="auto"/>
        <w:contextualSpacing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165"/>
      </w:tblGrid>
      <w:tr w:rsidR="00043B53" w:rsidRPr="00043B53" w14:paraId="090E56FA" w14:textId="77777777" w:rsidTr="00DD143B">
        <w:tc>
          <w:tcPr>
            <w:tcW w:w="9854" w:type="dxa"/>
            <w:gridSpan w:val="2"/>
            <w:shd w:val="clear" w:color="auto" w:fill="auto"/>
          </w:tcPr>
          <w:p w14:paraId="506D381B" w14:textId="10788DB3" w:rsidR="00043B53" w:rsidRPr="00043B53" w:rsidRDefault="00A01225" w:rsidP="00043B53">
            <w:pPr>
              <w:spacing w:line="276" w:lineRule="auto"/>
              <w:contextualSpacing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TTE-led Competitions</w:t>
            </w:r>
          </w:p>
        </w:tc>
      </w:tr>
      <w:tr w:rsidR="00043B53" w:rsidRPr="00043B53" w14:paraId="1206FDFA" w14:textId="77777777" w:rsidTr="00043B53">
        <w:tc>
          <w:tcPr>
            <w:tcW w:w="2689" w:type="dxa"/>
            <w:shd w:val="clear" w:color="auto" w:fill="002060"/>
          </w:tcPr>
          <w:p w14:paraId="1823E36C" w14:textId="5B71AF77" w:rsidR="00043B53" w:rsidRPr="00043B53" w:rsidRDefault="00043B53" w:rsidP="00043B53">
            <w:pPr>
              <w:spacing w:line="276" w:lineRule="auto"/>
              <w:contextualSpacing/>
              <w:rPr>
                <w:rFonts w:cstheme="minorHAnsi"/>
                <w:b/>
                <w:bCs/>
                <w:color w:val="FFFFFF" w:themeColor="background1"/>
              </w:rPr>
            </w:pPr>
            <w:r w:rsidRPr="00043B53">
              <w:rPr>
                <w:rFonts w:cstheme="minorHAnsi"/>
                <w:b/>
                <w:bCs/>
                <w:color w:val="FFFFFF" w:themeColor="background1"/>
              </w:rPr>
              <w:t>Programme</w:t>
            </w:r>
          </w:p>
        </w:tc>
        <w:tc>
          <w:tcPr>
            <w:tcW w:w="7165" w:type="dxa"/>
            <w:shd w:val="clear" w:color="auto" w:fill="002060"/>
          </w:tcPr>
          <w:p w14:paraId="33D874D6" w14:textId="336561C4" w:rsidR="00043B53" w:rsidRPr="00043B53" w:rsidRDefault="00043B53" w:rsidP="00043B53">
            <w:pPr>
              <w:spacing w:line="276" w:lineRule="auto"/>
              <w:contextualSpacing/>
              <w:rPr>
                <w:rFonts w:cstheme="minorHAnsi"/>
                <w:b/>
                <w:bCs/>
                <w:color w:val="FFFFFF" w:themeColor="background1"/>
              </w:rPr>
            </w:pPr>
            <w:r w:rsidRPr="00043B53">
              <w:rPr>
                <w:rFonts w:cstheme="minorHAnsi"/>
                <w:b/>
                <w:bCs/>
                <w:color w:val="FFFFFF" w:themeColor="background1"/>
              </w:rPr>
              <w:t>Description</w:t>
            </w:r>
          </w:p>
        </w:tc>
      </w:tr>
      <w:tr w:rsidR="00043B53" w:rsidRPr="00043B53" w14:paraId="16320461" w14:textId="77777777" w:rsidTr="00043B53">
        <w:tc>
          <w:tcPr>
            <w:tcW w:w="2689" w:type="dxa"/>
          </w:tcPr>
          <w:p w14:paraId="062B6F45" w14:textId="4C0B2554" w:rsidR="00043B53" w:rsidRPr="00043B53" w:rsidRDefault="00043B53" w:rsidP="00043B53">
            <w:pPr>
              <w:spacing w:line="276" w:lineRule="auto"/>
              <w:contextualSpacing/>
              <w:rPr>
                <w:rFonts w:cstheme="minorHAnsi"/>
                <w:color w:val="000000" w:themeColor="text1"/>
              </w:rPr>
            </w:pPr>
            <w:r w:rsidRPr="00043B53">
              <w:rPr>
                <w:rFonts w:cstheme="minorHAnsi"/>
                <w:b/>
                <w:bCs/>
                <w:color w:val="000000" w:themeColor="text1"/>
              </w:rPr>
              <w:t xml:space="preserve">Mark Bates Ltd. National Championships </w:t>
            </w:r>
            <w:r w:rsidRPr="00043B53">
              <w:rPr>
                <w:rFonts w:cstheme="minorHAnsi"/>
                <w:color w:val="000000" w:themeColor="text1"/>
              </w:rPr>
              <w:t>(closed)</w:t>
            </w:r>
          </w:p>
        </w:tc>
        <w:tc>
          <w:tcPr>
            <w:tcW w:w="7165" w:type="dxa"/>
          </w:tcPr>
          <w:p w14:paraId="4B585141" w14:textId="74020AF3" w:rsidR="00043B53" w:rsidRPr="00043B53" w:rsidRDefault="00043B53" w:rsidP="00043B53">
            <w:pPr>
              <w:spacing w:line="276" w:lineRule="auto"/>
              <w:ind w:left="27"/>
              <w:contextualSpacing/>
              <w:rPr>
                <w:rFonts w:cstheme="minorHAnsi"/>
                <w:color w:val="000000" w:themeColor="text1"/>
              </w:rPr>
            </w:pPr>
            <w:r w:rsidRPr="00043B53">
              <w:rPr>
                <w:rFonts w:cstheme="minorHAnsi"/>
                <w:color w:val="000000" w:themeColor="text1"/>
              </w:rPr>
              <w:t>A series of three annual KO tournaments for men’s and women’s individuals and doubles pairings at U1</w:t>
            </w:r>
            <w:r w:rsidR="006C2DCF">
              <w:rPr>
                <w:rFonts w:cstheme="minorHAnsi"/>
                <w:color w:val="000000" w:themeColor="text1"/>
              </w:rPr>
              <w:t>1 &amp; U13s</w:t>
            </w:r>
            <w:r w:rsidRPr="00043B53">
              <w:rPr>
                <w:rFonts w:cstheme="minorHAnsi"/>
                <w:color w:val="000000" w:themeColor="text1"/>
              </w:rPr>
              <w:t>, Cadet</w:t>
            </w:r>
            <w:r w:rsidR="006C2DCF">
              <w:rPr>
                <w:rFonts w:cstheme="minorHAnsi"/>
                <w:color w:val="000000" w:themeColor="text1"/>
              </w:rPr>
              <w:t>, U17</w:t>
            </w:r>
            <w:r w:rsidRPr="00043B53">
              <w:rPr>
                <w:rFonts w:cstheme="minorHAnsi"/>
                <w:color w:val="000000" w:themeColor="text1"/>
              </w:rPr>
              <w:t xml:space="preserve"> &amp; Junior, and Para &amp; U21 &amp; Senior (open) age-groups. Restricted to the top32 England-eligible players, determined by rankings (and additionally through a separate qualification event for Senior, and </w:t>
            </w:r>
            <w:proofErr w:type="spellStart"/>
            <w:r w:rsidRPr="00043B53">
              <w:rPr>
                <w:rFonts w:cstheme="minorHAnsi"/>
                <w:color w:val="000000" w:themeColor="text1"/>
              </w:rPr>
              <w:t>leaderboard</w:t>
            </w:r>
            <w:proofErr w:type="spellEnd"/>
            <w:r w:rsidRPr="00043B53">
              <w:rPr>
                <w:rFonts w:cstheme="minorHAnsi"/>
                <w:color w:val="000000" w:themeColor="text1"/>
              </w:rPr>
              <w:t xml:space="preserve"> at 4* events for Cadet and Junior)</w:t>
            </w:r>
          </w:p>
        </w:tc>
      </w:tr>
      <w:tr w:rsidR="00043B53" w:rsidRPr="00043B53" w14:paraId="70F1A1A9" w14:textId="77777777" w:rsidTr="00043B53">
        <w:tc>
          <w:tcPr>
            <w:tcW w:w="2689" w:type="dxa"/>
          </w:tcPr>
          <w:p w14:paraId="17DEC7F2" w14:textId="715AE3F2" w:rsidR="00043B53" w:rsidRPr="00043B53" w:rsidRDefault="00043B53" w:rsidP="00043B53">
            <w:pPr>
              <w:spacing w:line="276" w:lineRule="auto"/>
              <w:contextualSpacing/>
              <w:rPr>
                <w:rFonts w:cstheme="minorHAnsi"/>
                <w:color w:val="000000" w:themeColor="text1"/>
              </w:rPr>
            </w:pPr>
            <w:r w:rsidRPr="00043B53">
              <w:rPr>
                <w:rFonts w:cstheme="minorHAnsi"/>
                <w:b/>
                <w:bCs/>
                <w:color w:val="000000" w:themeColor="text1"/>
              </w:rPr>
              <w:t xml:space="preserve">National Cups </w:t>
            </w:r>
            <w:r w:rsidRPr="00043B53">
              <w:rPr>
                <w:rFonts w:cstheme="minorHAnsi"/>
                <w:color w:val="000000" w:themeColor="text1"/>
              </w:rPr>
              <w:t>(closed)</w:t>
            </w:r>
          </w:p>
        </w:tc>
        <w:tc>
          <w:tcPr>
            <w:tcW w:w="7165" w:type="dxa"/>
          </w:tcPr>
          <w:p w14:paraId="58A9460F" w14:textId="4EC8C16E" w:rsidR="00043B53" w:rsidRPr="00043B53" w:rsidRDefault="00043B53" w:rsidP="00043B53">
            <w:pPr>
              <w:spacing w:line="276" w:lineRule="auto"/>
              <w:ind w:left="27"/>
              <w:contextualSpacing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A</w:t>
            </w:r>
            <w:r w:rsidRPr="00043B53">
              <w:rPr>
                <w:rFonts w:cstheme="minorHAnsi"/>
                <w:color w:val="000000" w:themeColor="text1"/>
              </w:rPr>
              <w:t xml:space="preserve"> series of three annual tournaments for boys and girls at Cadet</w:t>
            </w:r>
            <w:r w:rsidR="006C2DCF">
              <w:rPr>
                <w:rFonts w:cstheme="minorHAnsi"/>
                <w:color w:val="000000" w:themeColor="text1"/>
              </w:rPr>
              <w:t xml:space="preserve">, </w:t>
            </w:r>
            <w:r w:rsidRPr="00043B53">
              <w:rPr>
                <w:rFonts w:cstheme="minorHAnsi"/>
                <w:color w:val="000000" w:themeColor="text1"/>
              </w:rPr>
              <w:t xml:space="preserve">Junior </w:t>
            </w:r>
            <w:r w:rsidR="006C2DCF">
              <w:rPr>
                <w:rFonts w:cstheme="minorHAnsi"/>
                <w:color w:val="000000" w:themeColor="text1"/>
              </w:rPr>
              <w:t xml:space="preserve">and Senior </w:t>
            </w:r>
            <w:r w:rsidRPr="00043B53">
              <w:rPr>
                <w:rFonts w:cstheme="minorHAnsi"/>
                <w:color w:val="000000" w:themeColor="text1"/>
              </w:rPr>
              <w:t>age-groups, played in a round-robin format. Restricted to the top10 England-eligible players, determined by rankings</w:t>
            </w:r>
            <w:r w:rsidR="006C2DCF">
              <w:rPr>
                <w:rFonts w:cstheme="minorHAnsi"/>
                <w:color w:val="000000" w:themeColor="text1"/>
              </w:rPr>
              <w:t xml:space="preserve">. </w:t>
            </w:r>
            <w:r w:rsidR="00D137A0">
              <w:rPr>
                <w:rFonts w:cstheme="minorHAnsi"/>
                <w:color w:val="000000" w:themeColor="text1"/>
              </w:rPr>
              <w:t>The S</w:t>
            </w:r>
            <w:r w:rsidR="006C2DCF">
              <w:rPr>
                <w:rFonts w:cstheme="minorHAnsi"/>
                <w:color w:val="000000" w:themeColor="text1"/>
              </w:rPr>
              <w:t xml:space="preserve">enior event </w:t>
            </w:r>
            <w:r w:rsidR="00D137A0">
              <w:rPr>
                <w:rFonts w:cstheme="minorHAnsi"/>
                <w:color w:val="000000" w:themeColor="text1"/>
              </w:rPr>
              <w:t xml:space="preserve">is new/ </w:t>
            </w:r>
            <w:r w:rsidR="006C2DCF">
              <w:rPr>
                <w:rFonts w:cstheme="minorHAnsi"/>
                <w:color w:val="000000" w:themeColor="text1"/>
              </w:rPr>
              <w:t>aspirational for season 21/22</w:t>
            </w:r>
          </w:p>
        </w:tc>
      </w:tr>
      <w:tr w:rsidR="00043B53" w:rsidRPr="00043B53" w14:paraId="3F88B729" w14:textId="77777777" w:rsidTr="00043B53">
        <w:tc>
          <w:tcPr>
            <w:tcW w:w="2689" w:type="dxa"/>
          </w:tcPr>
          <w:p w14:paraId="00D3C609" w14:textId="4D4E4986" w:rsidR="00043B53" w:rsidRPr="00043B53" w:rsidRDefault="00043B53" w:rsidP="00043B53">
            <w:pPr>
              <w:spacing w:line="276" w:lineRule="auto"/>
              <w:contextualSpacing/>
              <w:rPr>
                <w:rFonts w:cstheme="minorHAnsi"/>
                <w:color w:val="000000" w:themeColor="text1"/>
              </w:rPr>
            </w:pPr>
            <w:r w:rsidRPr="00043B53">
              <w:rPr>
                <w:rFonts w:cstheme="minorHAnsi"/>
                <w:b/>
                <w:bCs/>
                <w:color w:val="000000" w:themeColor="text1"/>
              </w:rPr>
              <w:t xml:space="preserve">British League (BL) </w:t>
            </w:r>
            <w:r w:rsidRPr="00043B53">
              <w:rPr>
                <w:rFonts w:cstheme="minorHAnsi"/>
                <w:color w:val="000000" w:themeColor="text1"/>
              </w:rPr>
              <w:t>(open)</w:t>
            </w:r>
          </w:p>
        </w:tc>
        <w:tc>
          <w:tcPr>
            <w:tcW w:w="7165" w:type="dxa"/>
          </w:tcPr>
          <w:p w14:paraId="576101A3" w14:textId="5AD7FBD8" w:rsidR="00043B53" w:rsidRPr="00043B53" w:rsidRDefault="00043B53" w:rsidP="00043B53">
            <w:pPr>
              <w:spacing w:line="276" w:lineRule="auto"/>
              <w:ind w:left="27"/>
              <w:contextualSpacing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A</w:t>
            </w:r>
            <w:r w:rsidRPr="00043B53">
              <w:rPr>
                <w:rFonts w:cstheme="minorHAnsi"/>
                <w:color w:val="000000" w:themeColor="text1"/>
              </w:rPr>
              <w:t xml:space="preserve"> national merit league structure, in varying formats, for clubs/ teams at Junior </w:t>
            </w:r>
            <w:r w:rsidR="006C2DCF">
              <w:rPr>
                <w:rFonts w:cstheme="minorHAnsi"/>
                <w:color w:val="000000" w:themeColor="text1"/>
              </w:rPr>
              <w:t xml:space="preserve">boys and Junior girls </w:t>
            </w:r>
            <w:r w:rsidRPr="00043B53">
              <w:rPr>
                <w:rFonts w:cstheme="minorHAnsi"/>
                <w:color w:val="000000" w:themeColor="text1"/>
              </w:rPr>
              <w:t xml:space="preserve">(JBL), Senior (mixed/ open, SBL) Women’s (only, WBL) and Veterans </w:t>
            </w:r>
            <w:r w:rsidR="006C2DCF">
              <w:rPr>
                <w:rFonts w:cstheme="minorHAnsi"/>
                <w:color w:val="000000" w:themeColor="text1"/>
              </w:rPr>
              <w:t xml:space="preserve">men’s and women’s </w:t>
            </w:r>
            <w:r w:rsidRPr="00043B53">
              <w:rPr>
                <w:rFonts w:cstheme="minorHAnsi"/>
                <w:color w:val="000000" w:themeColor="text1"/>
              </w:rPr>
              <w:t xml:space="preserve">(VBL) age-groups. BL is the premier team-based competition in England, and also open to teams from other Home Countries. BL comprises over 300 teams, 1,400+ players, competing at </w:t>
            </w:r>
            <w:r w:rsidR="00D137A0">
              <w:rPr>
                <w:rFonts w:cstheme="minorHAnsi"/>
                <w:color w:val="000000" w:themeColor="text1"/>
              </w:rPr>
              <w:t xml:space="preserve">c.30 home/ away fixtures, </w:t>
            </w:r>
            <w:r w:rsidRPr="00043B53">
              <w:rPr>
                <w:rFonts w:cstheme="minorHAnsi"/>
                <w:color w:val="000000" w:themeColor="text1"/>
              </w:rPr>
              <w:t xml:space="preserve">6 national weekends </w:t>
            </w:r>
            <w:r w:rsidR="00D137A0">
              <w:rPr>
                <w:rFonts w:cstheme="minorHAnsi"/>
                <w:color w:val="000000" w:themeColor="text1"/>
              </w:rPr>
              <w:t>&amp;</w:t>
            </w:r>
            <w:r w:rsidRPr="00043B53">
              <w:rPr>
                <w:rFonts w:cstheme="minorHAnsi"/>
                <w:color w:val="000000" w:themeColor="text1"/>
              </w:rPr>
              <w:t xml:space="preserve"> </w:t>
            </w:r>
            <w:r w:rsidR="00D137A0">
              <w:rPr>
                <w:rFonts w:cstheme="minorHAnsi"/>
                <w:color w:val="000000" w:themeColor="text1"/>
              </w:rPr>
              <w:t>c.</w:t>
            </w:r>
            <w:r w:rsidRPr="00043B53">
              <w:rPr>
                <w:rFonts w:cstheme="minorHAnsi"/>
                <w:color w:val="000000" w:themeColor="text1"/>
              </w:rPr>
              <w:t>5</w:t>
            </w:r>
            <w:r w:rsidR="00D137A0">
              <w:rPr>
                <w:rFonts w:cstheme="minorHAnsi"/>
                <w:color w:val="000000" w:themeColor="text1"/>
              </w:rPr>
              <w:t>0</w:t>
            </w:r>
            <w:r w:rsidRPr="00043B53">
              <w:rPr>
                <w:rFonts w:cstheme="minorHAnsi"/>
                <w:color w:val="000000" w:themeColor="text1"/>
              </w:rPr>
              <w:t xml:space="preserve"> divisional weekends</w:t>
            </w:r>
          </w:p>
        </w:tc>
      </w:tr>
      <w:tr w:rsidR="00043B53" w:rsidRPr="00043B53" w14:paraId="64A68CEC" w14:textId="77777777" w:rsidTr="00043B53">
        <w:tc>
          <w:tcPr>
            <w:tcW w:w="2689" w:type="dxa"/>
          </w:tcPr>
          <w:p w14:paraId="7AE7893E" w14:textId="2575801A" w:rsidR="00043B53" w:rsidRPr="00043B53" w:rsidRDefault="00043B53" w:rsidP="00043B53">
            <w:pPr>
              <w:spacing w:line="276" w:lineRule="auto"/>
              <w:contextualSpacing/>
              <w:rPr>
                <w:rFonts w:cstheme="minorHAnsi"/>
                <w:color w:val="000000" w:themeColor="text1"/>
              </w:rPr>
            </w:pPr>
            <w:r w:rsidRPr="00043B53">
              <w:rPr>
                <w:rFonts w:cstheme="minorHAnsi"/>
                <w:b/>
                <w:bCs/>
                <w:color w:val="000000" w:themeColor="text1"/>
              </w:rPr>
              <w:t xml:space="preserve">Grand Prix </w:t>
            </w:r>
            <w:r w:rsidRPr="00043B53">
              <w:rPr>
                <w:rFonts w:cstheme="minorHAnsi"/>
                <w:color w:val="000000" w:themeColor="text1"/>
              </w:rPr>
              <w:t>(open)</w:t>
            </w:r>
          </w:p>
        </w:tc>
        <w:tc>
          <w:tcPr>
            <w:tcW w:w="7165" w:type="dxa"/>
          </w:tcPr>
          <w:p w14:paraId="1F88F833" w14:textId="217670BD" w:rsidR="00043B53" w:rsidRPr="00043B53" w:rsidRDefault="00043B53" w:rsidP="00043B53">
            <w:pPr>
              <w:spacing w:line="276" w:lineRule="auto"/>
              <w:contextualSpacing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A</w:t>
            </w:r>
            <w:r w:rsidRPr="00043B53">
              <w:rPr>
                <w:rFonts w:cstheme="minorHAnsi"/>
                <w:color w:val="000000" w:themeColor="text1"/>
              </w:rPr>
              <w:t xml:space="preserve"> national series of five KO tournaments per season, held regionally, consisting of a broad mix of age-groups and events including U21 </w:t>
            </w:r>
            <w:r w:rsidR="006C2DCF">
              <w:rPr>
                <w:rFonts w:cstheme="minorHAnsi"/>
                <w:color w:val="000000" w:themeColor="text1"/>
              </w:rPr>
              <w:t xml:space="preserve">men’s and women’s </w:t>
            </w:r>
            <w:r w:rsidRPr="00043B53">
              <w:rPr>
                <w:rFonts w:cstheme="minorHAnsi"/>
                <w:color w:val="000000" w:themeColor="text1"/>
              </w:rPr>
              <w:t xml:space="preserve">singles, Senior (open) </w:t>
            </w:r>
            <w:r w:rsidR="006C2DCF">
              <w:rPr>
                <w:rFonts w:cstheme="minorHAnsi"/>
                <w:color w:val="000000" w:themeColor="text1"/>
              </w:rPr>
              <w:t xml:space="preserve">men’s and women’s </w:t>
            </w:r>
            <w:r w:rsidRPr="00043B53">
              <w:rPr>
                <w:rFonts w:cstheme="minorHAnsi"/>
                <w:color w:val="000000" w:themeColor="text1"/>
              </w:rPr>
              <w:t xml:space="preserve">singles and doubles, Veterans </w:t>
            </w:r>
            <w:r w:rsidR="006C2DCF">
              <w:rPr>
                <w:rFonts w:cstheme="minorHAnsi"/>
                <w:color w:val="000000" w:themeColor="text1"/>
              </w:rPr>
              <w:t>open doubles</w:t>
            </w:r>
            <w:r w:rsidRPr="00043B53">
              <w:rPr>
                <w:rFonts w:cstheme="minorHAnsi"/>
                <w:color w:val="000000" w:themeColor="text1"/>
              </w:rPr>
              <w:t xml:space="preserve">, and multiple Senior (open) </w:t>
            </w:r>
            <w:r w:rsidR="006C2DCF">
              <w:rPr>
                <w:rFonts w:cstheme="minorHAnsi"/>
                <w:color w:val="000000" w:themeColor="text1"/>
              </w:rPr>
              <w:t xml:space="preserve">men’s and women’s </w:t>
            </w:r>
            <w:r w:rsidRPr="00043B53">
              <w:rPr>
                <w:rFonts w:cstheme="minorHAnsi"/>
                <w:color w:val="000000" w:themeColor="text1"/>
              </w:rPr>
              <w:t>banded singles events determined by ranking points</w:t>
            </w:r>
            <w:r w:rsidR="00281618">
              <w:rPr>
                <w:rFonts w:cstheme="minorHAnsi"/>
                <w:color w:val="000000" w:themeColor="text1"/>
              </w:rPr>
              <w:t xml:space="preserve">. </w:t>
            </w:r>
            <w:proofErr w:type="gramStart"/>
            <w:r w:rsidR="00281618">
              <w:rPr>
                <w:rFonts w:cstheme="minorHAnsi"/>
                <w:color w:val="000000" w:themeColor="text1"/>
              </w:rPr>
              <w:t>Typically</w:t>
            </w:r>
            <w:proofErr w:type="gramEnd"/>
            <w:r w:rsidR="00281618">
              <w:rPr>
                <w:rFonts w:cstheme="minorHAnsi"/>
                <w:color w:val="000000" w:themeColor="text1"/>
              </w:rPr>
              <w:t xml:space="preserve"> between 100-180 entrants for each tournament, averaging 2-3 events each</w:t>
            </w:r>
          </w:p>
        </w:tc>
      </w:tr>
      <w:tr w:rsidR="00043B53" w:rsidRPr="00043B53" w14:paraId="2AD221E4" w14:textId="77777777" w:rsidTr="00043B53">
        <w:tc>
          <w:tcPr>
            <w:tcW w:w="2689" w:type="dxa"/>
          </w:tcPr>
          <w:p w14:paraId="6479361D" w14:textId="7F233A01" w:rsidR="00043B53" w:rsidRPr="00043B53" w:rsidRDefault="00043B53" w:rsidP="00043B53">
            <w:pPr>
              <w:spacing w:line="276" w:lineRule="auto"/>
              <w:contextualSpacing/>
              <w:rPr>
                <w:rFonts w:cstheme="minorHAnsi"/>
                <w:color w:val="000000" w:themeColor="text1"/>
              </w:rPr>
            </w:pPr>
            <w:r w:rsidRPr="00043B53">
              <w:rPr>
                <w:rFonts w:cstheme="minorHAnsi"/>
                <w:b/>
                <w:bCs/>
                <w:color w:val="000000" w:themeColor="text1"/>
              </w:rPr>
              <w:t>County Championships</w:t>
            </w:r>
            <w:r w:rsidRPr="00043B53">
              <w:rPr>
                <w:rFonts w:cstheme="minorHAnsi"/>
                <w:color w:val="000000" w:themeColor="text1"/>
              </w:rPr>
              <w:t xml:space="preserve"> (closed)</w:t>
            </w:r>
          </w:p>
        </w:tc>
        <w:tc>
          <w:tcPr>
            <w:tcW w:w="7165" w:type="dxa"/>
          </w:tcPr>
          <w:p w14:paraId="191DE475" w14:textId="4937DA21" w:rsidR="00043B53" w:rsidRPr="00043B53" w:rsidRDefault="00043B53" w:rsidP="00043B53">
            <w:pPr>
              <w:spacing w:line="276" w:lineRule="auto"/>
              <w:contextualSpacing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A</w:t>
            </w:r>
            <w:r w:rsidRPr="00043B53">
              <w:rPr>
                <w:rFonts w:cstheme="minorHAnsi"/>
                <w:color w:val="000000" w:themeColor="text1"/>
              </w:rPr>
              <w:t xml:space="preserve"> national merit league structure, hosted regionally below Premier level, for representative teams selected on players’ TTE county affiliation, at </w:t>
            </w:r>
            <w:r w:rsidR="006C2DCF">
              <w:rPr>
                <w:rFonts w:cstheme="minorHAnsi"/>
                <w:color w:val="000000" w:themeColor="text1"/>
              </w:rPr>
              <w:t xml:space="preserve">men’s and women’s </w:t>
            </w:r>
            <w:r w:rsidRPr="00043B53">
              <w:rPr>
                <w:rFonts w:cstheme="minorHAnsi"/>
                <w:color w:val="000000" w:themeColor="text1"/>
              </w:rPr>
              <w:t>Cadet, Junior, Senior, Veteran and Over-60 age-groups</w:t>
            </w:r>
            <w:r w:rsidR="00501ACE">
              <w:rPr>
                <w:rFonts w:cstheme="minorHAnsi"/>
                <w:color w:val="000000" w:themeColor="text1"/>
              </w:rPr>
              <w:t xml:space="preserve">. </w:t>
            </w:r>
            <w:r w:rsidR="00281618">
              <w:rPr>
                <w:rFonts w:cstheme="minorHAnsi"/>
                <w:color w:val="000000" w:themeColor="text1"/>
              </w:rPr>
              <w:t xml:space="preserve">Around 1,200 entrants. </w:t>
            </w:r>
            <w:r w:rsidR="00501ACE">
              <w:rPr>
                <w:rFonts w:cstheme="minorHAnsi"/>
                <w:color w:val="000000" w:themeColor="text1"/>
              </w:rPr>
              <w:t>Also open to home countries counties</w:t>
            </w:r>
            <w:r w:rsidR="00281618">
              <w:rPr>
                <w:rFonts w:cstheme="minorHAnsi"/>
                <w:color w:val="000000" w:themeColor="text1"/>
              </w:rPr>
              <w:t xml:space="preserve">. </w:t>
            </w:r>
          </w:p>
        </w:tc>
      </w:tr>
      <w:tr w:rsidR="00043B53" w:rsidRPr="00043B53" w14:paraId="4CE383F7" w14:textId="77777777" w:rsidTr="00043B53">
        <w:tc>
          <w:tcPr>
            <w:tcW w:w="2689" w:type="dxa"/>
          </w:tcPr>
          <w:p w14:paraId="5A6AE2F2" w14:textId="271654F3" w:rsidR="00043B53" w:rsidRPr="00043B53" w:rsidRDefault="00043B53" w:rsidP="00043B53">
            <w:pPr>
              <w:spacing w:line="276" w:lineRule="auto"/>
              <w:contextualSpacing/>
              <w:rPr>
                <w:rFonts w:cstheme="minorHAnsi"/>
                <w:color w:val="000000" w:themeColor="text1"/>
              </w:rPr>
            </w:pPr>
            <w:r w:rsidRPr="00043B53">
              <w:rPr>
                <w:rFonts w:cstheme="minorHAnsi"/>
                <w:b/>
                <w:bCs/>
                <w:color w:val="000000" w:themeColor="text1"/>
              </w:rPr>
              <w:t xml:space="preserve">National Cadet League (NCL) </w:t>
            </w:r>
            <w:r w:rsidRPr="00043B53">
              <w:rPr>
                <w:rFonts w:cstheme="minorHAnsi"/>
                <w:color w:val="000000" w:themeColor="text1"/>
              </w:rPr>
              <w:t>&amp;</w:t>
            </w:r>
            <w:r w:rsidRPr="00043B53">
              <w:rPr>
                <w:rFonts w:cstheme="minorHAnsi"/>
                <w:b/>
                <w:bCs/>
                <w:color w:val="000000" w:themeColor="text1"/>
              </w:rPr>
              <w:t xml:space="preserve"> National Junior Leagues (NJL) </w:t>
            </w:r>
            <w:r w:rsidRPr="00043B53">
              <w:rPr>
                <w:rFonts w:cstheme="minorHAnsi"/>
                <w:color w:val="000000" w:themeColor="text1"/>
              </w:rPr>
              <w:t>(open)</w:t>
            </w:r>
          </w:p>
        </w:tc>
        <w:tc>
          <w:tcPr>
            <w:tcW w:w="7165" w:type="dxa"/>
          </w:tcPr>
          <w:p w14:paraId="519143D1" w14:textId="603B5AA7" w:rsidR="00043B53" w:rsidRPr="00043B53" w:rsidRDefault="00043B53" w:rsidP="00043B53">
            <w:pPr>
              <w:spacing w:line="276" w:lineRule="auto"/>
              <w:contextualSpacing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A</w:t>
            </w:r>
            <w:r w:rsidRPr="00043B53">
              <w:rPr>
                <w:rFonts w:cstheme="minorHAnsi"/>
                <w:color w:val="000000" w:themeColor="text1"/>
              </w:rPr>
              <w:t xml:space="preserve"> programme of regionally-hosted league</w:t>
            </w:r>
            <w:r w:rsidR="00F55DA8">
              <w:rPr>
                <w:rFonts w:cstheme="minorHAnsi"/>
                <w:color w:val="000000" w:themeColor="text1"/>
              </w:rPr>
              <w:t xml:space="preserve"> events</w:t>
            </w:r>
            <w:r w:rsidRPr="00043B53">
              <w:rPr>
                <w:rFonts w:cstheme="minorHAnsi"/>
                <w:color w:val="000000" w:themeColor="text1"/>
              </w:rPr>
              <w:t xml:space="preserve">, reconstituted on an annual basis, for </w:t>
            </w:r>
            <w:r w:rsidR="006C2DCF">
              <w:rPr>
                <w:rFonts w:cstheme="minorHAnsi"/>
                <w:color w:val="000000" w:themeColor="text1"/>
              </w:rPr>
              <w:t>mixed</w:t>
            </w:r>
            <w:r w:rsidR="00D137A0">
              <w:rPr>
                <w:rFonts w:cstheme="minorHAnsi"/>
                <w:color w:val="000000" w:themeColor="text1"/>
              </w:rPr>
              <w:t>-</w:t>
            </w:r>
            <w:r w:rsidR="006C2DCF">
              <w:rPr>
                <w:rFonts w:cstheme="minorHAnsi"/>
                <w:color w:val="000000" w:themeColor="text1"/>
              </w:rPr>
              <w:t xml:space="preserve">gender </w:t>
            </w:r>
            <w:r w:rsidRPr="00043B53">
              <w:rPr>
                <w:rFonts w:cstheme="minorHAnsi"/>
                <w:color w:val="000000" w:themeColor="text1"/>
              </w:rPr>
              <w:t>clubs/ teams at Cadet and Junior age-groups. Aimed at grass</w:t>
            </w:r>
            <w:r w:rsidR="006C2DCF">
              <w:rPr>
                <w:rFonts w:cstheme="minorHAnsi"/>
                <w:color w:val="000000" w:themeColor="text1"/>
              </w:rPr>
              <w:t>-</w:t>
            </w:r>
            <w:r w:rsidRPr="00043B53">
              <w:rPr>
                <w:rFonts w:cstheme="minorHAnsi"/>
                <w:color w:val="000000" w:themeColor="text1"/>
              </w:rPr>
              <w:t>roots players</w:t>
            </w:r>
            <w:r w:rsidR="003619A7">
              <w:rPr>
                <w:rFonts w:cstheme="minorHAnsi"/>
                <w:color w:val="000000" w:themeColor="text1"/>
              </w:rPr>
              <w:t>, with c.250 Cadet and c.200 Junior participants</w:t>
            </w:r>
          </w:p>
        </w:tc>
      </w:tr>
      <w:tr w:rsidR="00043B53" w:rsidRPr="00043B53" w14:paraId="4118ECAC" w14:textId="77777777" w:rsidTr="00043B53">
        <w:tc>
          <w:tcPr>
            <w:tcW w:w="2689" w:type="dxa"/>
          </w:tcPr>
          <w:p w14:paraId="4F4A68CE" w14:textId="13A18A70" w:rsidR="00043B53" w:rsidRPr="00043B53" w:rsidRDefault="00043B53" w:rsidP="00043B53">
            <w:pPr>
              <w:spacing w:line="276" w:lineRule="auto"/>
              <w:contextualSpacing/>
              <w:rPr>
                <w:rFonts w:cstheme="minorHAnsi"/>
                <w:color w:val="000000" w:themeColor="text1"/>
              </w:rPr>
            </w:pPr>
            <w:r w:rsidRPr="00043B53">
              <w:rPr>
                <w:rFonts w:cstheme="minorHAnsi"/>
                <w:b/>
                <w:bCs/>
                <w:color w:val="000000" w:themeColor="text1"/>
              </w:rPr>
              <w:t xml:space="preserve">Inter-regional Qualifiers </w:t>
            </w:r>
            <w:r w:rsidRPr="00043B53">
              <w:rPr>
                <w:rFonts w:cstheme="minorHAnsi"/>
                <w:color w:val="000000" w:themeColor="text1"/>
              </w:rPr>
              <w:t>(closed)</w:t>
            </w:r>
          </w:p>
        </w:tc>
        <w:tc>
          <w:tcPr>
            <w:tcW w:w="7165" w:type="dxa"/>
          </w:tcPr>
          <w:p w14:paraId="74A38B03" w14:textId="37F5D8EE" w:rsidR="00043B53" w:rsidRPr="00043B53" w:rsidRDefault="00043B53" w:rsidP="00043B53">
            <w:pPr>
              <w:spacing w:line="276" w:lineRule="auto"/>
              <w:ind w:left="27"/>
              <w:contextualSpacing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A</w:t>
            </w:r>
            <w:r w:rsidRPr="00043B53">
              <w:rPr>
                <w:rFonts w:cstheme="minorHAnsi"/>
                <w:color w:val="000000" w:themeColor="text1"/>
              </w:rPr>
              <w:t xml:space="preserve">n annual event, held </w:t>
            </w:r>
            <w:r w:rsidR="006C2DCF">
              <w:rPr>
                <w:rFonts w:cstheme="minorHAnsi"/>
                <w:color w:val="000000" w:themeColor="text1"/>
              </w:rPr>
              <w:t xml:space="preserve">at the discretion of </w:t>
            </w:r>
            <w:r w:rsidRPr="00043B53">
              <w:rPr>
                <w:rFonts w:cstheme="minorHAnsi"/>
                <w:color w:val="000000" w:themeColor="text1"/>
              </w:rPr>
              <w:t xml:space="preserve">each </w:t>
            </w:r>
            <w:r w:rsidR="00D137A0">
              <w:rPr>
                <w:rFonts w:cstheme="minorHAnsi"/>
                <w:color w:val="000000" w:themeColor="text1"/>
              </w:rPr>
              <w:t xml:space="preserve">the ten </w:t>
            </w:r>
            <w:r w:rsidRPr="00043B53">
              <w:rPr>
                <w:rFonts w:cstheme="minorHAnsi"/>
                <w:color w:val="000000" w:themeColor="text1"/>
              </w:rPr>
              <w:t>TTE region</w:t>
            </w:r>
            <w:r w:rsidR="00D137A0">
              <w:rPr>
                <w:rFonts w:cstheme="minorHAnsi"/>
                <w:color w:val="000000" w:themeColor="text1"/>
              </w:rPr>
              <w:t>s</w:t>
            </w:r>
            <w:r w:rsidR="00D137A0">
              <w:rPr>
                <w:rStyle w:val="FootnoteReference"/>
                <w:rFonts w:cstheme="minorHAnsi"/>
                <w:color w:val="000000" w:themeColor="text1"/>
              </w:rPr>
              <w:footnoteReference w:id="1"/>
            </w:r>
            <w:r w:rsidRPr="00043B53">
              <w:rPr>
                <w:rFonts w:cstheme="minorHAnsi"/>
                <w:color w:val="000000" w:themeColor="text1"/>
              </w:rPr>
              <w:t xml:space="preserve">, and potentially also incorporating regional championships in other age-groups, to determine the individual regional qualifiers from </w:t>
            </w:r>
            <w:r w:rsidR="006C2DCF">
              <w:rPr>
                <w:rFonts w:cstheme="minorHAnsi"/>
                <w:color w:val="000000" w:themeColor="text1"/>
              </w:rPr>
              <w:t xml:space="preserve">boy’s and girl’s </w:t>
            </w:r>
            <w:r w:rsidRPr="00043B53">
              <w:rPr>
                <w:rFonts w:cstheme="minorHAnsi"/>
                <w:color w:val="000000" w:themeColor="text1"/>
              </w:rPr>
              <w:t xml:space="preserve">U11, U13 &amp; Cadet age-groups to attend the </w:t>
            </w:r>
            <w:r w:rsidRPr="00043B53">
              <w:rPr>
                <w:rFonts w:cstheme="minorHAnsi"/>
                <w:color w:val="000000" w:themeColor="text1"/>
                <w:u w:val="single"/>
              </w:rPr>
              <w:t>Inter-regional Finals</w:t>
            </w:r>
            <w:r w:rsidRPr="00043B53">
              <w:rPr>
                <w:rFonts w:cstheme="minorHAnsi"/>
                <w:color w:val="000000" w:themeColor="text1"/>
              </w:rPr>
              <w:t>. Restricted to England-eligible players affiliated to TTE counties within a specific TTE region</w:t>
            </w:r>
          </w:p>
        </w:tc>
      </w:tr>
      <w:tr w:rsidR="00043B53" w:rsidRPr="00043B53" w14:paraId="38D8F8DC" w14:textId="77777777" w:rsidTr="00043B53">
        <w:tc>
          <w:tcPr>
            <w:tcW w:w="2689" w:type="dxa"/>
          </w:tcPr>
          <w:p w14:paraId="30741620" w14:textId="158C1A34" w:rsidR="00043B53" w:rsidRPr="00043B53" w:rsidRDefault="00043B53" w:rsidP="00043B53">
            <w:pPr>
              <w:spacing w:line="276" w:lineRule="auto"/>
              <w:contextualSpacing/>
              <w:rPr>
                <w:rFonts w:cstheme="minorHAnsi"/>
                <w:color w:val="000000" w:themeColor="text1"/>
              </w:rPr>
            </w:pPr>
            <w:r w:rsidRPr="00043B53">
              <w:rPr>
                <w:rFonts w:cstheme="minorHAnsi"/>
                <w:b/>
                <w:bCs/>
                <w:color w:val="000000" w:themeColor="text1"/>
              </w:rPr>
              <w:t xml:space="preserve">Inter-regional Finals </w:t>
            </w:r>
            <w:r w:rsidRPr="00043B53">
              <w:rPr>
                <w:rFonts w:cstheme="minorHAnsi"/>
                <w:color w:val="000000" w:themeColor="text1"/>
              </w:rPr>
              <w:t>(closed)</w:t>
            </w:r>
          </w:p>
        </w:tc>
        <w:tc>
          <w:tcPr>
            <w:tcW w:w="7165" w:type="dxa"/>
          </w:tcPr>
          <w:p w14:paraId="7081A662" w14:textId="1E9C7E84" w:rsidR="00043B53" w:rsidRPr="00D137A0" w:rsidRDefault="00043B53" w:rsidP="00D137A0">
            <w:pPr>
              <w:spacing w:line="276" w:lineRule="auto"/>
              <w:ind w:left="27"/>
              <w:contextualSpacing/>
              <w:rPr>
                <w:rFonts w:cstheme="minorHAnsi"/>
                <w:color w:val="000000" w:themeColor="text1"/>
              </w:rPr>
            </w:pPr>
            <w:r w:rsidRPr="00043B53">
              <w:rPr>
                <w:rFonts w:cstheme="minorHAnsi"/>
                <w:color w:val="000000" w:themeColor="text1"/>
              </w:rPr>
              <w:t xml:space="preserve">An annual KO tournament in both team and individual formats, at </w:t>
            </w:r>
            <w:r w:rsidR="006C2DCF">
              <w:rPr>
                <w:rFonts w:cstheme="minorHAnsi"/>
                <w:color w:val="000000" w:themeColor="text1"/>
              </w:rPr>
              <w:t xml:space="preserve">boy’s and girl’s </w:t>
            </w:r>
            <w:r w:rsidRPr="00043B53">
              <w:rPr>
                <w:rFonts w:cstheme="minorHAnsi"/>
                <w:color w:val="000000" w:themeColor="text1"/>
              </w:rPr>
              <w:t xml:space="preserve">U11, U13 &amp; Cadet age-groups, for </w:t>
            </w:r>
            <w:r w:rsidR="003619A7">
              <w:rPr>
                <w:rFonts w:cstheme="minorHAnsi"/>
                <w:color w:val="000000" w:themeColor="text1"/>
              </w:rPr>
              <w:t xml:space="preserve">c.200 </w:t>
            </w:r>
            <w:r w:rsidR="00D137A0">
              <w:rPr>
                <w:rFonts w:cstheme="minorHAnsi"/>
                <w:color w:val="000000" w:themeColor="text1"/>
              </w:rPr>
              <w:t xml:space="preserve">singles and c.100 team </w:t>
            </w:r>
            <w:r w:rsidRPr="00043B53">
              <w:rPr>
                <w:rFonts w:cstheme="minorHAnsi"/>
                <w:color w:val="000000" w:themeColor="text1"/>
              </w:rPr>
              <w:t xml:space="preserve">participants qualifying </w:t>
            </w:r>
            <w:r w:rsidR="006C2DCF">
              <w:rPr>
                <w:rFonts w:cstheme="minorHAnsi"/>
                <w:color w:val="000000" w:themeColor="text1"/>
              </w:rPr>
              <w:t xml:space="preserve">or selected </w:t>
            </w:r>
            <w:r w:rsidRPr="00043B53">
              <w:rPr>
                <w:rFonts w:cstheme="minorHAnsi"/>
                <w:color w:val="000000" w:themeColor="text1"/>
              </w:rPr>
              <w:t xml:space="preserve">from </w:t>
            </w:r>
            <w:r w:rsidRPr="00043B53">
              <w:rPr>
                <w:rFonts w:cstheme="minorHAnsi"/>
                <w:color w:val="000000" w:themeColor="text1"/>
                <w:u w:val="single"/>
              </w:rPr>
              <w:t>Inter-regional Qualifier</w:t>
            </w:r>
            <w:r w:rsidRPr="00043B53">
              <w:rPr>
                <w:rFonts w:cstheme="minorHAnsi"/>
                <w:color w:val="000000" w:themeColor="text1"/>
              </w:rPr>
              <w:t xml:space="preserve"> events</w:t>
            </w:r>
            <w:r w:rsidR="003619A7">
              <w:rPr>
                <w:rFonts w:cstheme="minorHAnsi"/>
                <w:color w:val="000000" w:themeColor="text1"/>
              </w:rPr>
              <w:t xml:space="preserve">. The event is </w:t>
            </w:r>
            <w:r w:rsidR="00995963">
              <w:rPr>
                <w:rFonts w:cstheme="minorHAnsi"/>
                <w:color w:val="000000" w:themeColor="text1"/>
              </w:rPr>
              <w:t xml:space="preserve">specifically </w:t>
            </w:r>
            <w:r w:rsidR="003619A7">
              <w:rPr>
                <w:rFonts w:cstheme="minorHAnsi"/>
                <w:color w:val="000000" w:themeColor="text1"/>
              </w:rPr>
              <w:t xml:space="preserve">aimed at the tier of players below the top10, and therefore entry is </w:t>
            </w:r>
            <w:r w:rsidRPr="00043B53">
              <w:rPr>
                <w:rFonts w:cstheme="minorHAnsi"/>
                <w:color w:val="000000" w:themeColor="text1"/>
              </w:rPr>
              <w:t xml:space="preserve">restricted to those </w:t>
            </w:r>
            <w:r w:rsidRPr="00043B53">
              <w:rPr>
                <w:rFonts w:cstheme="minorHAnsi"/>
                <w:i/>
                <w:iCs/>
                <w:color w:val="000000" w:themeColor="text1"/>
              </w:rPr>
              <w:t>outside</w:t>
            </w:r>
            <w:r w:rsidRPr="00043B53">
              <w:rPr>
                <w:rFonts w:cstheme="minorHAnsi"/>
                <w:color w:val="000000" w:themeColor="text1"/>
              </w:rPr>
              <w:t xml:space="preserve"> the top10 rankings or already invited to </w:t>
            </w:r>
            <w:r w:rsidRPr="00043B53">
              <w:rPr>
                <w:rFonts w:cstheme="minorHAnsi"/>
                <w:color w:val="000000" w:themeColor="text1"/>
                <w:u w:val="single"/>
              </w:rPr>
              <w:t>National Cups</w:t>
            </w:r>
            <w:r w:rsidR="003619A7">
              <w:rPr>
                <w:rFonts w:cstheme="minorHAnsi"/>
                <w:color w:val="000000" w:themeColor="text1"/>
                <w:u w:val="single"/>
              </w:rPr>
              <w:t xml:space="preserve"> </w:t>
            </w:r>
          </w:p>
        </w:tc>
      </w:tr>
      <w:tr w:rsidR="00690073" w:rsidRPr="00043B53" w14:paraId="7C29BEBE" w14:textId="77777777" w:rsidTr="00043B53">
        <w:tc>
          <w:tcPr>
            <w:tcW w:w="2689" w:type="dxa"/>
          </w:tcPr>
          <w:p w14:paraId="2C9C29A7" w14:textId="244C4092" w:rsidR="00690073" w:rsidRPr="00043B53" w:rsidRDefault="00690073" w:rsidP="00043B53">
            <w:pPr>
              <w:spacing w:line="276" w:lineRule="auto"/>
              <w:contextualSpacing/>
              <w:rPr>
                <w:rFonts w:cstheme="minorHAnsi"/>
                <w:b/>
                <w:bCs/>
                <w:color w:val="000000" w:themeColor="text1"/>
              </w:rPr>
            </w:pPr>
            <w:r w:rsidRPr="00690073">
              <w:rPr>
                <w:rFonts w:cstheme="minorHAnsi"/>
                <w:b/>
                <w:bCs/>
                <w:color w:val="000000" w:themeColor="text1"/>
              </w:rPr>
              <w:t xml:space="preserve">English League Cup Competition (ELCC) </w:t>
            </w:r>
            <w:r w:rsidRPr="00690073">
              <w:rPr>
                <w:rFonts w:cstheme="minorHAnsi"/>
                <w:color w:val="000000" w:themeColor="text1"/>
              </w:rPr>
              <w:t>(closed)</w:t>
            </w:r>
          </w:p>
        </w:tc>
        <w:tc>
          <w:tcPr>
            <w:tcW w:w="7165" w:type="dxa"/>
          </w:tcPr>
          <w:p w14:paraId="7DF6B279" w14:textId="2870FAF0" w:rsidR="00690073" w:rsidRPr="00043B53" w:rsidRDefault="00690073" w:rsidP="00690073">
            <w:pPr>
              <w:spacing w:line="276" w:lineRule="auto"/>
              <w:contextualSpacing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A</w:t>
            </w:r>
            <w:r w:rsidRPr="00690073">
              <w:rPr>
                <w:rFonts w:cstheme="minorHAnsi"/>
                <w:color w:val="000000" w:themeColor="text1"/>
              </w:rPr>
              <w:t>n annual KO tournament in team format, at Junior and Senior age-groups, for representative teams selected on players’ TTE local league participation.</w:t>
            </w:r>
            <w:r w:rsidR="00DB0DA6">
              <w:rPr>
                <w:rFonts w:cstheme="minorHAnsi"/>
                <w:color w:val="000000" w:themeColor="text1"/>
              </w:rPr>
              <w:t xml:space="preserve"> </w:t>
            </w:r>
            <w:r w:rsidRPr="00690073">
              <w:rPr>
                <w:rFonts w:cstheme="minorHAnsi"/>
                <w:color w:val="000000" w:themeColor="text1"/>
              </w:rPr>
              <w:lastRenderedPageBreak/>
              <w:t>A national finals event follows zonal qualification tournaments</w:t>
            </w:r>
            <w:r>
              <w:rPr>
                <w:rFonts w:cstheme="minorHAnsi"/>
                <w:color w:val="000000" w:themeColor="text1"/>
              </w:rPr>
              <w:t>, with c.150 participants.</w:t>
            </w:r>
            <w:r w:rsidR="00E9784D">
              <w:rPr>
                <w:rFonts w:cstheme="minorHAnsi"/>
                <w:color w:val="000000" w:themeColor="text1"/>
              </w:rPr>
              <w:t xml:space="preserve"> This is the oldest event on the Table Tennis England calendar.</w:t>
            </w:r>
          </w:p>
        </w:tc>
      </w:tr>
      <w:tr w:rsidR="00043B53" w:rsidRPr="00043B53" w14:paraId="13BB28F0" w14:textId="77777777" w:rsidTr="00043B53">
        <w:tc>
          <w:tcPr>
            <w:tcW w:w="2689" w:type="dxa"/>
          </w:tcPr>
          <w:p w14:paraId="5C7AF188" w14:textId="3C2708BF" w:rsidR="00043B53" w:rsidRPr="00043B53" w:rsidRDefault="00043B53" w:rsidP="00043B53">
            <w:pPr>
              <w:spacing w:line="276" w:lineRule="auto"/>
              <w:contextualSpacing/>
              <w:rPr>
                <w:rFonts w:cstheme="minorHAnsi"/>
                <w:color w:val="000000" w:themeColor="text1"/>
              </w:rPr>
            </w:pPr>
            <w:r w:rsidRPr="00043B53">
              <w:rPr>
                <w:rFonts w:cstheme="minorHAnsi"/>
                <w:b/>
                <w:bCs/>
                <w:color w:val="000000" w:themeColor="text1"/>
              </w:rPr>
              <w:lastRenderedPageBreak/>
              <w:t xml:space="preserve">Butterfly Schools </w:t>
            </w:r>
            <w:r w:rsidRPr="00043B53">
              <w:rPr>
                <w:rFonts w:cstheme="minorHAnsi"/>
                <w:color w:val="000000" w:themeColor="text1"/>
              </w:rPr>
              <w:t>(closed)</w:t>
            </w:r>
          </w:p>
        </w:tc>
        <w:tc>
          <w:tcPr>
            <w:tcW w:w="7165" w:type="dxa"/>
          </w:tcPr>
          <w:p w14:paraId="7390C3F9" w14:textId="260A0DF7" w:rsidR="00043B53" w:rsidRPr="00043B53" w:rsidRDefault="00043B53" w:rsidP="00043B53">
            <w:pPr>
              <w:spacing w:line="276" w:lineRule="auto"/>
              <w:ind w:left="27"/>
              <w:contextualSpacing/>
              <w:rPr>
                <w:rFonts w:cstheme="minorHAnsi"/>
                <w:color w:val="000000" w:themeColor="text1"/>
              </w:rPr>
            </w:pPr>
            <w:r w:rsidRPr="00043B53">
              <w:rPr>
                <w:rFonts w:cstheme="minorHAnsi"/>
                <w:color w:val="000000" w:themeColor="text1"/>
              </w:rPr>
              <w:t xml:space="preserve">Consists of both Team and Individual events, for boys and girls, at U11, U13, U16 and U19 age-groups. Entrants represent their school and require permission to compete. TTE deliver </w:t>
            </w:r>
            <w:r w:rsidR="00586910">
              <w:rPr>
                <w:rFonts w:cstheme="minorHAnsi"/>
                <w:color w:val="000000" w:themeColor="text1"/>
              </w:rPr>
              <w:t>R</w:t>
            </w:r>
            <w:r w:rsidRPr="00043B53">
              <w:rPr>
                <w:rFonts w:cstheme="minorHAnsi"/>
                <w:color w:val="000000" w:themeColor="text1"/>
              </w:rPr>
              <w:t xml:space="preserve">egional and </w:t>
            </w:r>
            <w:r w:rsidR="00586910">
              <w:rPr>
                <w:rFonts w:cstheme="minorHAnsi"/>
                <w:color w:val="000000" w:themeColor="text1"/>
              </w:rPr>
              <w:t>N</w:t>
            </w:r>
            <w:r w:rsidRPr="00043B53">
              <w:rPr>
                <w:rFonts w:cstheme="minorHAnsi"/>
                <w:color w:val="000000" w:themeColor="text1"/>
              </w:rPr>
              <w:t>ational finals in the team event, and national finals in the individual event, following Borough Finals &gt; County Finals &gt; Zone Finals delivered by schools at local level</w:t>
            </w:r>
            <w:r w:rsidR="00281618">
              <w:rPr>
                <w:rFonts w:cstheme="minorHAnsi"/>
                <w:color w:val="000000" w:themeColor="text1"/>
              </w:rPr>
              <w:t xml:space="preserve">. </w:t>
            </w:r>
            <w:r w:rsidR="00690073">
              <w:rPr>
                <w:rFonts w:cstheme="minorHAnsi"/>
                <w:color w:val="000000" w:themeColor="text1"/>
              </w:rPr>
              <w:t xml:space="preserve">National finals </w:t>
            </w:r>
            <w:proofErr w:type="gramStart"/>
            <w:r w:rsidR="00690073">
              <w:rPr>
                <w:rFonts w:cstheme="minorHAnsi"/>
                <w:color w:val="000000" w:themeColor="text1"/>
              </w:rPr>
              <w:t>c</w:t>
            </w:r>
            <w:r w:rsidR="00281618">
              <w:rPr>
                <w:rFonts w:cstheme="minorHAnsi"/>
                <w:color w:val="000000" w:themeColor="text1"/>
              </w:rPr>
              <w:t>onsist</w:t>
            </w:r>
            <w:r w:rsidR="00690073">
              <w:rPr>
                <w:rFonts w:cstheme="minorHAnsi"/>
                <w:color w:val="000000" w:themeColor="text1"/>
              </w:rPr>
              <w:t>s</w:t>
            </w:r>
            <w:proofErr w:type="gramEnd"/>
            <w:r w:rsidR="00281618">
              <w:rPr>
                <w:rFonts w:cstheme="minorHAnsi"/>
                <w:color w:val="000000" w:themeColor="text1"/>
              </w:rPr>
              <w:t xml:space="preserve"> of around 330 entrants to the individuals event, and 120 in the team event.</w:t>
            </w:r>
          </w:p>
        </w:tc>
      </w:tr>
      <w:tr w:rsidR="00043B53" w:rsidRPr="00043B53" w14:paraId="35CDBB70" w14:textId="77777777" w:rsidTr="00A01225">
        <w:tc>
          <w:tcPr>
            <w:tcW w:w="2689" w:type="dxa"/>
            <w:tcBorders>
              <w:bottom w:val="single" w:sz="4" w:space="0" w:color="auto"/>
            </w:tcBorders>
          </w:tcPr>
          <w:p w14:paraId="220BD300" w14:textId="378DDEBE" w:rsidR="00043B53" w:rsidRPr="00043B53" w:rsidRDefault="00043B53" w:rsidP="00043B53">
            <w:pPr>
              <w:spacing w:line="276" w:lineRule="auto"/>
              <w:contextualSpacing/>
              <w:rPr>
                <w:rFonts w:cstheme="minorHAnsi"/>
                <w:color w:val="000000" w:themeColor="text1"/>
              </w:rPr>
            </w:pPr>
            <w:r w:rsidRPr="00043B53">
              <w:rPr>
                <w:rFonts w:cstheme="minorHAnsi"/>
                <w:b/>
                <w:bCs/>
                <w:color w:val="000000" w:themeColor="text1"/>
              </w:rPr>
              <w:t xml:space="preserve">Jack Petchey Schools </w:t>
            </w:r>
            <w:r w:rsidRPr="00043B53">
              <w:rPr>
                <w:rFonts w:cstheme="minorHAnsi"/>
                <w:color w:val="000000" w:themeColor="text1"/>
              </w:rPr>
              <w:t>(closed)</w:t>
            </w:r>
          </w:p>
        </w:tc>
        <w:tc>
          <w:tcPr>
            <w:tcW w:w="7165" w:type="dxa"/>
            <w:tcBorders>
              <w:bottom w:val="single" w:sz="4" w:space="0" w:color="auto"/>
            </w:tcBorders>
          </w:tcPr>
          <w:p w14:paraId="3AAA6411" w14:textId="1B3D9280" w:rsidR="00043B53" w:rsidRPr="00043B53" w:rsidRDefault="00043B53" w:rsidP="00043B53">
            <w:pPr>
              <w:spacing w:line="276" w:lineRule="auto"/>
              <w:ind w:left="27"/>
              <w:contextualSpacing/>
              <w:rPr>
                <w:rFonts w:cstheme="minorHAnsi"/>
                <w:color w:val="000000" w:themeColor="text1"/>
              </w:rPr>
            </w:pPr>
            <w:r w:rsidRPr="00043B53">
              <w:rPr>
                <w:rFonts w:cstheme="minorHAnsi"/>
                <w:color w:val="000000" w:themeColor="text1"/>
              </w:rPr>
              <w:t xml:space="preserve">With the support of the Jack Petchey Foundation, TTE also deliver the County rounds of the </w:t>
            </w:r>
            <w:r w:rsidRPr="00043B53">
              <w:rPr>
                <w:rFonts w:cstheme="minorHAnsi"/>
                <w:i/>
                <w:iCs/>
                <w:color w:val="000000" w:themeColor="text1"/>
              </w:rPr>
              <w:t xml:space="preserve">Butterfly Schools competition </w:t>
            </w:r>
            <w:r w:rsidRPr="00043B53">
              <w:rPr>
                <w:rFonts w:cstheme="minorHAnsi"/>
                <w:color w:val="000000" w:themeColor="text1"/>
              </w:rPr>
              <w:t>in London &amp; Essex, and the Zone finals for the Team event in London. For the individual competition, there is also a London Final for those qualifying from the County Finals</w:t>
            </w:r>
          </w:p>
        </w:tc>
      </w:tr>
      <w:tr w:rsidR="00A01225" w:rsidRPr="00043B53" w14:paraId="70AC0CC4" w14:textId="77777777" w:rsidTr="00A01225">
        <w:tc>
          <w:tcPr>
            <w:tcW w:w="9854" w:type="dxa"/>
            <w:gridSpan w:val="2"/>
            <w:tcBorders>
              <w:left w:val="nil"/>
              <w:right w:val="nil"/>
            </w:tcBorders>
          </w:tcPr>
          <w:p w14:paraId="6986BA75" w14:textId="77777777" w:rsidR="00A01225" w:rsidRPr="00043B53" w:rsidRDefault="00A01225" w:rsidP="00043B53">
            <w:pPr>
              <w:spacing w:line="276" w:lineRule="auto"/>
              <w:ind w:left="27"/>
              <w:contextualSpacing/>
              <w:rPr>
                <w:rFonts w:cstheme="minorHAnsi"/>
                <w:color w:val="000000" w:themeColor="text1"/>
              </w:rPr>
            </w:pPr>
          </w:p>
        </w:tc>
      </w:tr>
      <w:tr w:rsidR="00A01225" w:rsidRPr="00043B53" w14:paraId="5FC0B6BD" w14:textId="77777777" w:rsidTr="009F5AD8">
        <w:tc>
          <w:tcPr>
            <w:tcW w:w="9854" w:type="dxa"/>
            <w:gridSpan w:val="2"/>
            <w:tcBorders>
              <w:bottom w:val="single" w:sz="4" w:space="0" w:color="auto"/>
            </w:tcBorders>
          </w:tcPr>
          <w:p w14:paraId="4320E367" w14:textId="4B4100E1" w:rsidR="00A01225" w:rsidRPr="00043B53" w:rsidRDefault="00A01225" w:rsidP="00A01225">
            <w:pPr>
              <w:spacing w:line="276" w:lineRule="auto"/>
              <w:ind w:left="27"/>
              <w:contextualSpacing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bCs/>
              </w:rPr>
              <w:t>Externally-led Competitions</w:t>
            </w:r>
          </w:p>
        </w:tc>
      </w:tr>
      <w:tr w:rsidR="00A01225" w:rsidRPr="00043B53" w14:paraId="051D66DA" w14:textId="77777777" w:rsidTr="00A01225">
        <w:tc>
          <w:tcPr>
            <w:tcW w:w="2689" w:type="dxa"/>
            <w:shd w:val="clear" w:color="auto" w:fill="002060"/>
          </w:tcPr>
          <w:p w14:paraId="669BE881" w14:textId="0C122463" w:rsidR="00A01225" w:rsidRPr="00043B53" w:rsidRDefault="00A01225" w:rsidP="00A01225">
            <w:pPr>
              <w:spacing w:line="276" w:lineRule="auto"/>
              <w:contextualSpacing/>
              <w:rPr>
                <w:rFonts w:cstheme="minorHAnsi"/>
                <w:b/>
                <w:bCs/>
                <w:color w:val="000000" w:themeColor="text1"/>
              </w:rPr>
            </w:pPr>
            <w:r w:rsidRPr="00043B53">
              <w:rPr>
                <w:rFonts w:cstheme="minorHAnsi"/>
                <w:b/>
                <w:bCs/>
                <w:color w:val="FFFFFF" w:themeColor="background1"/>
              </w:rPr>
              <w:t>Description</w:t>
            </w:r>
          </w:p>
        </w:tc>
        <w:tc>
          <w:tcPr>
            <w:tcW w:w="7165" w:type="dxa"/>
            <w:shd w:val="clear" w:color="auto" w:fill="002060"/>
          </w:tcPr>
          <w:p w14:paraId="06339D12" w14:textId="4327822A" w:rsidR="00A01225" w:rsidRPr="00043B53" w:rsidRDefault="00A01225" w:rsidP="00A01225">
            <w:pPr>
              <w:spacing w:line="276" w:lineRule="auto"/>
              <w:ind w:left="27"/>
              <w:contextualSpacing/>
              <w:rPr>
                <w:rFonts w:cstheme="minorHAnsi"/>
                <w:color w:val="000000" w:themeColor="text1"/>
              </w:rPr>
            </w:pPr>
            <w:r w:rsidRPr="00043B53">
              <w:rPr>
                <w:rFonts w:cstheme="minorHAnsi"/>
                <w:b/>
                <w:bCs/>
                <w:color w:val="FFFFFF" w:themeColor="background1"/>
              </w:rPr>
              <w:t>Description</w:t>
            </w:r>
          </w:p>
        </w:tc>
      </w:tr>
      <w:tr w:rsidR="00A01225" w:rsidRPr="00043B53" w14:paraId="5D2B5B16" w14:textId="77777777" w:rsidTr="00043B53">
        <w:tc>
          <w:tcPr>
            <w:tcW w:w="2689" w:type="dxa"/>
          </w:tcPr>
          <w:p w14:paraId="67384E36" w14:textId="04BDFD87" w:rsidR="00A01225" w:rsidRPr="00A01225" w:rsidRDefault="00A01225" w:rsidP="00A01225">
            <w:pPr>
              <w:spacing w:line="276" w:lineRule="auto"/>
              <w:contextualSpacing/>
              <w:rPr>
                <w:rFonts w:cstheme="minorHAnsi"/>
                <w:b/>
                <w:bCs/>
              </w:rPr>
            </w:pPr>
            <w:r w:rsidRPr="00A01225">
              <w:rPr>
                <w:rFonts w:cstheme="minorHAnsi"/>
                <w:b/>
                <w:bCs/>
              </w:rPr>
              <w:t xml:space="preserve">Local Leagues </w:t>
            </w:r>
            <w:r w:rsidRPr="00A01225">
              <w:rPr>
                <w:rFonts w:cstheme="minorHAnsi"/>
              </w:rPr>
              <w:t>(open)</w:t>
            </w:r>
          </w:p>
        </w:tc>
        <w:tc>
          <w:tcPr>
            <w:tcW w:w="7165" w:type="dxa"/>
          </w:tcPr>
          <w:p w14:paraId="761D4D4C" w14:textId="264A1E0C" w:rsidR="00A01225" w:rsidRPr="00A01225" w:rsidRDefault="00A01225" w:rsidP="00A01225">
            <w:pPr>
              <w:spacing w:line="276" w:lineRule="auto"/>
              <w:ind w:left="27"/>
              <w:contextualSpacing/>
              <w:rPr>
                <w:rFonts w:cstheme="minorHAnsi"/>
              </w:rPr>
            </w:pPr>
            <w:r w:rsidRPr="00A01225">
              <w:rPr>
                <w:rFonts w:cstheme="minorHAnsi"/>
              </w:rPr>
              <w:t xml:space="preserve">A wide-ranging annual merit league structure, club-based at local level, in varying formats, typically for clubs/ teams at Senior (open) age-group. There </w:t>
            </w:r>
            <w:proofErr w:type="gramStart"/>
            <w:r w:rsidRPr="00A01225">
              <w:rPr>
                <w:rFonts w:cstheme="minorHAnsi"/>
              </w:rPr>
              <w:t>are</w:t>
            </w:r>
            <w:proofErr w:type="gramEnd"/>
            <w:r w:rsidRPr="00A01225">
              <w:rPr>
                <w:rFonts w:cstheme="minorHAnsi"/>
              </w:rPr>
              <w:t xml:space="preserve"> c.230 sanctioned local leagues consisting of around 2,500 clubs fielding 7,000 teams. Local leagues are non-regulated but supported by TTE, and typically take place on weekday evenings</w:t>
            </w:r>
          </w:p>
        </w:tc>
      </w:tr>
      <w:tr w:rsidR="00A01225" w:rsidRPr="00043B53" w14:paraId="7BB30A60" w14:textId="77777777" w:rsidTr="00043B53">
        <w:tc>
          <w:tcPr>
            <w:tcW w:w="2689" w:type="dxa"/>
          </w:tcPr>
          <w:p w14:paraId="6AC5DC89" w14:textId="6AAF0207" w:rsidR="00A01225" w:rsidRPr="00A01225" w:rsidRDefault="00A01225" w:rsidP="00A01225">
            <w:pPr>
              <w:spacing w:line="276" w:lineRule="auto"/>
              <w:contextualSpacing/>
              <w:rPr>
                <w:rFonts w:cstheme="minorHAnsi"/>
                <w:b/>
                <w:bCs/>
              </w:rPr>
            </w:pPr>
            <w:r w:rsidRPr="00A01225">
              <w:rPr>
                <w:rFonts w:cstheme="minorHAnsi"/>
                <w:b/>
                <w:bCs/>
              </w:rPr>
              <w:t>1*, 2*</w:t>
            </w:r>
            <w:r w:rsidR="00B743F6">
              <w:rPr>
                <w:rFonts w:cstheme="minorHAnsi"/>
                <w:b/>
                <w:bCs/>
              </w:rPr>
              <w:t>, 3*</w:t>
            </w:r>
            <w:r w:rsidRPr="00A01225">
              <w:rPr>
                <w:rFonts w:cstheme="minorHAnsi"/>
                <w:b/>
                <w:bCs/>
              </w:rPr>
              <w:t xml:space="preserve"> &amp; 4* events</w:t>
            </w:r>
            <w:r w:rsidRPr="00A01225">
              <w:rPr>
                <w:rFonts w:cstheme="minorHAnsi"/>
              </w:rPr>
              <w:t xml:space="preserve"> (open)</w:t>
            </w:r>
          </w:p>
        </w:tc>
        <w:tc>
          <w:tcPr>
            <w:tcW w:w="7165" w:type="dxa"/>
          </w:tcPr>
          <w:p w14:paraId="43AA6A0B" w14:textId="14A1A232" w:rsidR="00A01225" w:rsidRPr="00A01225" w:rsidRDefault="00A01225" w:rsidP="00A01225">
            <w:pPr>
              <w:spacing w:line="276" w:lineRule="auto"/>
              <w:ind w:left="27"/>
              <w:contextualSpacing/>
              <w:rPr>
                <w:rFonts w:cstheme="minorHAnsi"/>
              </w:rPr>
            </w:pPr>
            <w:r w:rsidRPr="00A01225">
              <w:rPr>
                <w:rFonts w:cstheme="minorHAnsi"/>
              </w:rPr>
              <w:t xml:space="preserve">A wide-ranging tournament programme, </w:t>
            </w:r>
            <w:r w:rsidR="00404D7C">
              <w:rPr>
                <w:rFonts w:cstheme="minorHAnsi"/>
              </w:rPr>
              <w:t xml:space="preserve">typically </w:t>
            </w:r>
            <w:r w:rsidRPr="00A01225">
              <w:rPr>
                <w:rFonts w:cstheme="minorHAnsi"/>
              </w:rPr>
              <w:t xml:space="preserve">club-based at local level, in varying formats. There </w:t>
            </w:r>
            <w:proofErr w:type="gramStart"/>
            <w:r w:rsidRPr="00A01225">
              <w:rPr>
                <w:rFonts w:cstheme="minorHAnsi"/>
              </w:rPr>
              <w:t>are</w:t>
            </w:r>
            <w:proofErr w:type="gramEnd"/>
            <w:r w:rsidRPr="00A01225">
              <w:rPr>
                <w:rFonts w:cstheme="minorHAnsi"/>
              </w:rPr>
              <w:t xml:space="preserve"> c.160 sanctioned 1*, 2*</w:t>
            </w:r>
            <w:r w:rsidR="00B743F6">
              <w:rPr>
                <w:rFonts w:cstheme="minorHAnsi"/>
              </w:rPr>
              <w:t xml:space="preserve">, 3* </w:t>
            </w:r>
            <w:r w:rsidRPr="00A01225">
              <w:rPr>
                <w:rFonts w:cstheme="minorHAnsi"/>
              </w:rPr>
              <w:t>&amp; 4* events each season</w:t>
            </w:r>
            <w:r w:rsidR="00404D7C">
              <w:rPr>
                <w:rFonts w:cstheme="minorHAnsi"/>
              </w:rPr>
              <w:t>, regulated by TTE</w:t>
            </w:r>
            <w:r w:rsidR="004875D5">
              <w:rPr>
                <w:rFonts w:cstheme="minorHAnsi"/>
              </w:rPr>
              <w:t xml:space="preserve"> – these are the most frequent and accessible tournament events for players</w:t>
            </w:r>
          </w:p>
        </w:tc>
      </w:tr>
      <w:tr w:rsidR="00A01225" w:rsidRPr="00043B53" w14:paraId="098D9F1F" w14:textId="77777777" w:rsidTr="00043B53">
        <w:tc>
          <w:tcPr>
            <w:tcW w:w="2689" w:type="dxa"/>
          </w:tcPr>
          <w:p w14:paraId="1B96C74E" w14:textId="0849917E" w:rsidR="00A01225" w:rsidRPr="00A01225" w:rsidRDefault="00A01225" w:rsidP="00A01225">
            <w:pPr>
              <w:spacing w:line="276" w:lineRule="auto"/>
              <w:contextualSpacing/>
              <w:rPr>
                <w:rFonts w:cstheme="minorHAnsi"/>
                <w:b/>
                <w:bCs/>
              </w:rPr>
            </w:pPr>
            <w:r w:rsidRPr="00A01225">
              <w:rPr>
                <w:rFonts w:cstheme="minorHAnsi"/>
                <w:b/>
                <w:bCs/>
              </w:rPr>
              <w:t xml:space="preserve">Satellite Grand Prix </w:t>
            </w:r>
            <w:r w:rsidRPr="00A01225">
              <w:rPr>
                <w:rFonts w:cstheme="minorHAnsi"/>
              </w:rPr>
              <w:t>(open)</w:t>
            </w:r>
          </w:p>
        </w:tc>
        <w:tc>
          <w:tcPr>
            <w:tcW w:w="7165" w:type="dxa"/>
          </w:tcPr>
          <w:p w14:paraId="0268CD03" w14:textId="3B4911BC" w:rsidR="00A01225" w:rsidRPr="00A01225" w:rsidRDefault="00A01225" w:rsidP="00A01225">
            <w:pPr>
              <w:spacing w:line="276" w:lineRule="auto"/>
              <w:ind w:left="27"/>
              <w:contextualSpacing/>
              <w:rPr>
                <w:rFonts w:cstheme="minorHAnsi"/>
              </w:rPr>
            </w:pPr>
            <w:r w:rsidRPr="00A01225">
              <w:rPr>
                <w:rFonts w:cstheme="minorHAnsi"/>
              </w:rPr>
              <w:t xml:space="preserve">Complimentary event consistent with </w:t>
            </w:r>
            <w:r w:rsidRPr="00A01225">
              <w:rPr>
                <w:rFonts w:cstheme="minorHAnsi"/>
                <w:u w:val="single"/>
              </w:rPr>
              <w:t xml:space="preserve">Grand Prix </w:t>
            </w:r>
            <w:r w:rsidRPr="00A01225">
              <w:rPr>
                <w:rFonts w:cstheme="minorHAnsi"/>
              </w:rPr>
              <w:t xml:space="preserve">format, </w:t>
            </w:r>
            <w:r w:rsidR="00404D7C">
              <w:rPr>
                <w:rFonts w:cstheme="minorHAnsi"/>
              </w:rPr>
              <w:t xml:space="preserve">regulated by TTE, </w:t>
            </w:r>
            <w:r w:rsidRPr="00A01225">
              <w:rPr>
                <w:rFonts w:cstheme="minorHAnsi"/>
              </w:rPr>
              <w:t xml:space="preserve">but externally- rather than internally-led. </w:t>
            </w:r>
            <w:proofErr w:type="gramStart"/>
            <w:r w:rsidRPr="00A01225">
              <w:rPr>
                <w:rFonts w:cstheme="minorHAnsi"/>
              </w:rPr>
              <w:t>Typically</w:t>
            </w:r>
            <w:proofErr w:type="gramEnd"/>
            <w:r w:rsidRPr="00A01225">
              <w:rPr>
                <w:rFonts w:cstheme="minorHAnsi"/>
              </w:rPr>
              <w:t xml:space="preserve"> </w:t>
            </w:r>
            <w:r w:rsidR="00281618">
              <w:rPr>
                <w:rFonts w:cstheme="minorHAnsi"/>
              </w:rPr>
              <w:t xml:space="preserve">two events each season </w:t>
            </w:r>
            <w:r w:rsidRPr="00A01225">
              <w:rPr>
                <w:rFonts w:cstheme="minorHAnsi"/>
              </w:rPr>
              <w:t>held within UK but out with England (</w:t>
            </w:r>
            <w:proofErr w:type="spellStart"/>
            <w:r w:rsidRPr="00A01225">
              <w:rPr>
                <w:rFonts w:cstheme="minorHAnsi"/>
              </w:rPr>
              <w:t>eg</w:t>
            </w:r>
            <w:proofErr w:type="spellEnd"/>
            <w:r w:rsidR="004875D5">
              <w:rPr>
                <w:rFonts w:cstheme="minorHAnsi"/>
              </w:rPr>
              <w:t xml:space="preserve"> in</w:t>
            </w:r>
            <w:r w:rsidRPr="00A01225">
              <w:rPr>
                <w:rFonts w:cstheme="minorHAnsi"/>
              </w:rPr>
              <w:t xml:space="preserve"> Jersey and Wales)</w:t>
            </w:r>
          </w:p>
        </w:tc>
      </w:tr>
      <w:tr w:rsidR="00A01225" w:rsidRPr="00043B53" w14:paraId="58D785D2" w14:textId="77777777" w:rsidTr="00043B53">
        <w:tc>
          <w:tcPr>
            <w:tcW w:w="2689" w:type="dxa"/>
          </w:tcPr>
          <w:p w14:paraId="1FC0B70C" w14:textId="7F8F8AEA" w:rsidR="00A01225" w:rsidRPr="00A01225" w:rsidRDefault="00A01225" w:rsidP="00A01225">
            <w:pPr>
              <w:spacing w:line="276" w:lineRule="auto"/>
              <w:contextualSpacing/>
              <w:rPr>
                <w:rFonts w:cstheme="minorHAnsi"/>
                <w:b/>
                <w:bCs/>
              </w:rPr>
            </w:pPr>
            <w:r w:rsidRPr="00A01225">
              <w:rPr>
                <w:rFonts w:cstheme="minorHAnsi"/>
                <w:b/>
                <w:bCs/>
              </w:rPr>
              <w:t xml:space="preserve">VETTS </w:t>
            </w:r>
            <w:r w:rsidRPr="00A01225">
              <w:rPr>
                <w:rFonts w:cstheme="minorHAnsi"/>
              </w:rPr>
              <w:t>(closed)</w:t>
            </w:r>
          </w:p>
        </w:tc>
        <w:tc>
          <w:tcPr>
            <w:tcW w:w="7165" w:type="dxa"/>
          </w:tcPr>
          <w:p w14:paraId="3F3B1669" w14:textId="004DD9C7" w:rsidR="00A01225" w:rsidRPr="00A01225" w:rsidRDefault="00A01225" w:rsidP="00A01225">
            <w:pPr>
              <w:spacing w:line="276" w:lineRule="auto"/>
              <w:contextualSpacing/>
              <w:rPr>
                <w:rFonts w:cstheme="minorHAnsi"/>
              </w:rPr>
            </w:pPr>
            <w:r w:rsidRPr="00A01225">
              <w:rPr>
                <w:rFonts w:cstheme="minorHAnsi"/>
              </w:rPr>
              <w:t xml:space="preserve">A national series of </w:t>
            </w:r>
            <w:r w:rsidR="00B00A80">
              <w:rPr>
                <w:rFonts w:cstheme="minorHAnsi"/>
              </w:rPr>
              <w:t>seven</w:t>
            </w:r>
            <w:r w:rsidR="00F55DA8">
              <w:rPr>
                <w:rFonts w:cstheme="minorHAnsi"/>
              </w:rPr>
              <w:t xml:space="preserve"> </w:t>
            </w:r>
            <w:r w:rsidRPr="00A01225">
              <w:rPr>
                <w:rFonts w:cstheme="minorHAnsi"/>
              </w:rPr>
              <w:t xml:space="preserve">KO tournaments, held regionally, for members of the VETTS organisation. Sanctioned </w:t>
            </w:r>
            <w:r w:rsidR="00404D7C">
              <w:rPr>
                <w:rFonts w:cstheme="minorHAnsi"/>
              </w:rPr>
              <w:t xml:space="preserve">and regulated </w:t>
            </w:r>
            <w:r w:rsidRPr="00A01225">
              <w:rPr>
                <w:rFonts w:cstheme="minorHAnsi"/>
              </w:rPr>
              <w:t>by TTE at 40+ (Veteran) age-group only, with additional non-regulated age-group events also held in 50+, 60+, 70+ &amp; 80+ age-groups</w:t>
            </w:r>
          </w:p>
        </w:tc>
      </w:tr>
    </w:tbl>
    <w:p w14:paraId="59BDF2CF" w14:textId="77777777" w:rsidR="00501ACE" w:rsidRDefault="00501ACE" w:rsidP="00043B53">
      <w:pPr>
        <w:spacing w:after="0" w:line="276" w:lineRule="auto"/>
        <w:contextualSpacing/>
        <w:rPr>
          <w:rFonts w:cstheme="minorHAnsi"/>
          <w:color w:val="FF0000"/>
        </w:rPr>
      </w:pPr>
    </w:p>
    <w:p w14:paraId="58E086E5" w14:textId="4A3FA305" w:rsidR="00170223" w:rsidRPr="00E60949" w:rsidRDefault="00501ACE" w:rsidP="00AA53E7">
      <w:pPr>
        <w:spacing w:after="0" w:line="276" w:lineRule="auto"/>
        <w:contextualSpacing/>
        <w:rPr>
          <w:rFonts w:cstheme="minorHAnsi"/>
        </w:rPr>
      </w:pPr>
      <w:r w:rsidRPr="00501ACE">
        <w:rPr>
          <w:rFonts w:cstheme="minorHAnsi"/>
        </w:rPr>
        <w:t>Please note that for Season 21/22 Junior event eligibility has been changed from U18 to U19, and the age-groups for National Championships and National Cups have been amended</w:t>
      </w:r>
      <w:r w:rsidR="00D137A0">
        <w:rPr>
          <w:rFonts w:cstheme="minorHAnsi"/>
        </w:rPr>
        <w:t xml:space="preserve"> from previous seaso</w:t>
      </w:r>
      <w:r w:rsidR="00AA53E7">
        <w:rPr>
          <w:rFonts w:cstheme="minorHAnsi"/>
        </w:rPr>
        <w:t>n</w:t>
      </w:r>
    </w:p>
    <w:sectPr w:rsidR="00170223" w:rsidRPr="00E60949" w:rsidSect="0039191E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F1102" w14:textId="77777777" w:rsidR="004517AF" w:rsidRDefault="004517AF" w:rsidP="001A5209">
      <w:pPr>
        <w:spacing w:after="0" w:line="240" w:lineRule="auto"/>
      </w:pPr>
      <w:r>
        <w:separator/>
      </w:r>
    </w:p>
  </w:endnote>
  <w:endnote w:type="continuationSeparator" w:id="0">
    <w:p w14:paraId="3B00BFD2" w14:textId="77777777" w:rsidR="004517AF" w:rsidRDefault="004517AF" w:rsidP="001A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33C84" w14:textId="77777777" w:rsidR="004517AF" w:rsidRDefault="004517AF" w:rsidP="001A5209">
      <w:pPr>
        <w:spacing w:after="0" w:line="240" w:lineRule="auto"/>
      </w:pPr>
      <w:r>
        <w:separator/>
      </w:r>
    </w:p>
  </w:footnote>
  <w:footnote w:type="continuationSeparator" w:id="0">
    <w:p w14:paraId="7320F276" w14:textId="77777777" w:rsidR="004517AF" w:rsidRDefault="004517AF" w:rsidP="001A5209">
      <w:pPr>
        <w:spacing w:after="0" w:line="240" w:lineRule="auto"/>
      </w:pPr>
      <w:r>
        <w:continuationSeparator/>
      </w:r>
    </w:p>
  </w:footnote>
  <w:footnote w:id="1">
    <w:p w14:paraId="6D8FF481" w14:textId="2A0701F3" w:rsidR="00D137A0" w:rsidRDefault="00D137A0">
      <w:pPr>
        <w:pStyle w:val="FootnoteText"/>
      </w:pPr>
      <w:r>
        <w:rPr>
          <w:rStyle w:val="FootnoteReference"/>
        </w:rPr>
        <w:footnoteRef/>
      </w:r>
      <w:r>
        <w:t xml:space="preserve"> Yorkshire, North West, North East, West Midlands, East Midlands, South West, South, London, South East, Eastern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5754C"/>
    <w:multiLevelType w:val="hybridMultilevel"/>
    <w:tmpl w:val="BBB0F530"/>
    <w:lvl w:ilvl="0" w:tplc="5A223C90">
      <w:start w:val="1"/>
      <w:numFmt w:val="decimal"/>
      <w:lvlText w:val="%1."/>
      <w:lvlJc w:val="left"/>
      <w:pPr>
        <w:ind w:left="720" w:hanging="360"/>
      </w:pPr>
      <w:rPr>
        <w:rFonts w:ascii="Century Gothic" w:eastAsia="Calibri" w:hAnsi="Century Gothic" w:cs="Calibri"/>
        <w:b w:val="0"/>
      </w:rPr>
    </w:lvl>
    <w:lvl w:ilvl="1" w:tplc="F2A8A0FC">
      <w:start w:val="1"/>
      <w:numFmt w:val="lowerLetter"/>
      <w:lvlText w:val="%2."/>
      <w:lvlJc w:val="left"/>
      <w:pPr>
        <w:ind w:left="1440" w:hanging="360"/>
      </w:pPr>
      <w:rPr>
        <w:rFonts w:asciiTheme="minorHAnsi" w:eastAsia="Calibri" w:hAnsiTheme="minorHAnsi" w:cstheme="minorHAnsi" w:hint="default"/>
        <w:b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F0A7B"/>
    <w:multiLevelType w:val="hybridMultilevel"/>
    <w:tmpl w:val="BBF06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75C0E"/>
    <w:multiLevelType w:val="hybridMultilevel"/>
    <w:tmpl w:val="30C44D7E"/>
    <w:lvl w:ilvl="0" w:tplc="4C025EF4">
      <w:start w:val="1"/>
      <w:numFmt w:val="lowerLetter"/>
      <w:lvlText w:val="%1."/>
      <w:lvlJc w:val="left"/>
      <w:pPr>
        <w:ind w:left="1440" w:hanging="360"/>
      </w:pPr>
      <w:rPr>
        <w:rFonts w:asciiTheme="minorHAnsi" w:eastAsia="Calibri" w:hAnsiTheme="minorHAnsi" w:cstheme="minorHAnsi"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1057D"/>
    <w:multiLevelType w:val="hybridMultilevel"/>
    <w:tmpl w:val="680295D4"/>
    <w:lvl w:ilvl="0" w:tplc="A862621C">
      <w:start w:val="1"/>
      <w:numFmt w:val="lowerLetter"/>
      <w:lvlText w:val="%1."/>
      <w:lvlJc w:val="left"/>
      <w:pPr>
        <w:ind w:left="1440" w:hanging="360"/>
      </w:pPr>
      <w:rPr>
        <w:rFonts w:ascii="Century Gothic" w:eastAsia="Calibri" w:hAnsi="Century Gothic" w:cs="Calibri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61AA2"/>
    <w:multiLevelType w:val="hybridMultilevel"/>
    <w:tmpl w:val="B9384152"/>
    <w:lvl w:ilvl="0" w:tplc="6A9C493E">
      <w:start w:val="1"/>
      <w:numFmt w:val="lowerLetter"/>
      <w:lvlText w:val="%1."/>
      <w:lvlJc w:val="left"/>
      <w:pPr>
        <w:ind w:left="1440" w:hanging="360"/>
      </w:pPr>
      <w:rPr>
        <w:rFonts w:asciiTheme="minorHAnsi" w:eastAsia="Calibri" w:hAnsiTheme="minorHAnsi" w:cstheme="minorHAnsi"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216F"/>
    <w:multiLevelType w:val="hybridMultilevel"/>
    <w:tmpl w:val="CB6C8834"/>
    <w:lvl w:ilvl="0" w:tplc="A862621C">
      <w:start w:val="1"/>
      <w:numFmt w:val="lowerLetter"/>
      <w:lvlText w:val="%1."/>
      <w:lvlJc w:val="left"/>
      <w:pPr>
        <w:ind w:left="1440" w:hanging="360"/>
      </w:pPr>
      <w:rPr>
        <w:rFonts w:ascii="Century Gothic" w:eastAsia="Calibri" w:hAnsi="Century Gothic" w:cs="Calibri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E6855"/>
    <w:multiLevelType w:val="hybridMultilevel"/>
    <w:tmpl w:val="D2D01420"/>
    <w:lvl w:ilvl="0" w:tplc="5A223C90">
      <w:start w:val="1"/>
      <w:numFmt w:val="decimal"/>
      <w:lvlText w:val="%1."/>
      <w:lvlJc w:val="left"/>
      <w:pPr>
        <w:ind w:left="720" w:hanging="360"/>
      </w:pPr>
      <w:rPr>
        <w:rFonts w:ascii="Century Gothic" w:eastAsia="Calibri" w:hAnsi="Century Gothic" w:cs="Calibri"/>
        <w:b w:val="0"/>
      </w:rPr>
    </w:lvl>
    <w:lvl w:ilvl="1" w:tplc="A862621C">
      <w:start w:val="1"/>
      <w:numFmt w:val="lowerLetter"/>
      <w:lvlText w:val="%2."/>
      <w:lvlJc w:val="left"/>
      <w:pPr>
        <w:ind w:left="1440" w:hanging="360"/>
      </w:pPr>
      <w:rPr>
        <w:rFonts w:ascii="Century Gothic" w:eastAsia="Calibri" w:hAnsi="Century Gothic" w:cs="Calibri"/>
        <w:b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48513C"/>
    <w:multiLevelType w:val="hybridMultilevel"/>
    <w:tmpl w:val="41666C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672F4"/>
    <w:multiLevelType w:val="hybridMultilevel"/>
    <w:tmpl w:val="8102C7C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C84D6E"/>
    <w:multiLevelType w:val="hybridMultilevel"/>
    <w:tmpl w:val="E6EC7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E4A33"/>
    <w:multiLevelType w:val="hybridMultilevel"/>
    <w:tmpl w:val="FEA6B56E"/>
    <w:lvl w:ilvl="0" w:tplc="B7FE0244">
      <w:start w:val="1"/>
      <w:numFmt w:val="lowerLetter"/>
      <w:lvlText w:val="%1."/>
      <w:lvlJc w:val="left"/>
      <w:pPr>
        <w:ind w:left="1440" w:hanging="360"/>
      </w:pPr>
      <w:rPr>
        <w:rFonts w:asciiTheme="minorHAnsi" w:eastAsia="Calibri" w:hAnsiTheme="minorHAnsi" w:cstheme="minorHAnsi"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FA6E03"/>
    <w:multiLevelType w:val="hybridMultilevel"/>
    <w:tmpl w:val="7158D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743FBE"/>
    <w:multiLevelType w:val="hybridMultilevel"/>
    <w:tmpl w:val="9DA6610E"/>
    <w:lvl w:ilvl="0" w:tplc="C3A05044">
      <w:start w:val="1"/>
      <w:numFmt w:val="lowerLetter"/>
      <w:lvlText w:val="%1."/>
      <w:lvlJc w:val="left"/>
      <w:pPr>
        <w:ind w:left="1440" w:hanging="360"/>
      </w:pPr>
      <w:rPr>
        <w:rFonts w:asciiTheme="minorHAnsi" w:eastAsia="Calibri" w:hAnsiTheme="minorHAnsi" w:cstheme="minorHAnsi"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C3013D"/>
    <w:multiLevelType w:val="hybridMultilevel"/>
    <w:tmpl w:val="53BCE868"/>
    <w:lvl w:ilvl="0" w:tplc="65EED986">
      <w:start w:val="1"/>
      <w:numFmt w:val="lowerLetter"/>
      <w:lvlText w:val="%1."/>
      <w:lvlJc w:val="left"/>
      <w:pPr>
        <w:ind w:left="1440" w:hanging="360"/>
      </w:pPr>
      <w:rPr>
        <w:rFonts w:asciiTheme="minorHAnsi" w:eastAsia="Calibri" w:hAnsiTheme="minorHAnsi" w:cstheme="minorHAnsi"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625EB"/>
    <w:multiLevelType w:val="hybridMultilevel"/>
    <w:tmpl w:val="BF104C26"/>
    <w:lvl w:ilvl="0" w:tplc="A862621C">
      <w:start w:val="1"/>
      <w:numFmt w:val="lowerLetter"/>
      <w:lvlText w:val="%1."/>
      <w:lvlJc w:val="left"/>
      <w:pPr>
        <w:ind w:left="1440" w:hanging="360"/>
      </w:pPr>
      <w:rPr>
        <w:rFonts w:ascii="Century Gothic" w:eastAsia="Calibri" w:hAnsi="Century Gothic" w:cs="Calibri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E5BE0"/>
    <w:multiLevelType w:val="hybridMultilevel"/>
    <w:tmpl w:val="BA1C63C6"/>
    <w:lvl w:ilvl="0" w:tplc="5A223C90">
      <w:start w:val="1"/>
      <w:numFmt w:val="decimal"/>
      <w:lvlText w:val="%1."/>
      <w:lvlJc w:val="left"/>
      <w:pPr>
        <w:ind w:left="720" w:hanging="360"/>
      </w:pPr>
      <w:rPr>
        <w:rFonts w:ascii="Century Gothic" w:eastAsia="Calibri" w:hAnsi="Century Gothic" w:cs="Calibri"/>
        <w:b w:val="0"/>
      </w:rPr>
    </w:lvl>
    <w:lvl w:ilvl="1" w:tplc="3540271A">
      <w:start w:val="1"/>
      <w:numFmt w:val="lowerLetter"/>
      <w:lvlText w:val="%2."/>
      <w:lvlJc w:val="left"/>
      <w:pPr>
        <w:ind w:left="1440" w:hanging="360"/>
      </w:pPr>
      <w:rPr>
        <w:rFonts w:asciiTheme="minorHAnsi" w:eastAsia="Calibri" w:hAnsiTheme="minorHAnsi" w:cstheme="minorHAnsi" w:hint="default"/>
        <w:b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6C36BE"/>
    <w:multiLevelType w:val="hybridMultilevel"/>
    <w:tmpl w:val="9940A2B8"/>
    <w:lvl w:ilvl="0" w:tplc="02E21954">
      <w:start w:val="1"/>
      <w:numFmt w:val="lowerLetter"/>
      <w:lvlText w:val="%1."/>
      <w:lvlJc w:val="left"/>
      <w:pPr>
        <w:ind w:left="1440" w:hanging="360"/>
      </w:pPr>
      <w:rPr>
        <w:rFonts w:asciiTheme="minorHAnsi" w:eastAsia="Calibri" w:hAnsiTheme="minorHAnsi" w:cstheme="minorHAnsi"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454032"/>
    <w:multiLevelType w:val="hybridMultilevel"/>
    <w:tmpl w:val="0D7C968E"/>
    <w:lvl w:ilvl="0" w:tplc="3858F21A">
      <w:start w:val="1"/>
      <w:numFmt w:val="lowerLetter"/>
      <w:lvlText w:val="%1."/>
      <w:lvlJc w:val="left"/>
      <w:pPr>
        <w:ind w:left="1440" w:hanging="360"/>
      </w:pPr>
      <w:rPr>
        <w:rFonts w:asciiTheme="minorHAnsi" w:eastAsia="Calibri" w:hAnsiTheme="minorHAnsi" w:cstheme="minorHAnsi"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A3D10"/>
    <w:multiLevelType w:val="hybridMultilevel"/>
    <w:tmpl w:val="96801224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8E5549"/>
    <w:multiLevelType w:val="hybridMultilevel"/>
    <w:tmpl w:val="059EC33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7E4505"/>
    <w:multiLevelType w:val="hybridMultilevel"/>
    <w:tmpl w:val="E2BC09AE"/>
    <w:lvl w:ilvl="0" w:tplc="976C8DBA">
      <w:start w:val="1"/>
      <w:numFmt w:val="lowerLetter"/>
      <w:lvlText w:val="%1."/>
      <w:lvlJc w:val="left"/>
      <w:pPr>
        <w:ind w:left="1440" w:hanging="360"/>
      </w:pPr>
      <w:rPr>
        <w:rFonts w:asciiTheme="minorHAnsi" w:eastAsia="Calibri" w:hAnsiTheme="minorHAnsi" w:cstheme="minorHAnsi"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656ADB"/>
    <w:multiLevelType w:val="hybridMultilevel"/>
    <w:tmpl w:val="3D3C6F54"/>
    <w:lvl w:ilvl="0" w:tplc="45B0CE0A">
      <w:start w:val="1"/>
      <w:numFmt w:val="lowerLetter"/>
      <w:lvlText w:val="%1."/>
      <w:lvlJc w:val="left"/>
      <w:pPr>
        <w:ind w:left="1440" w:hanging="360"/>
      </w:pPr>
      <w:rPr>
        <w:rFonts w:asciiTheme="minorHAnsi" w:eastAsia="Calibri" w:hAnsiTheme="minorHAnsi" w:cstheme="minorHAnsi"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026098"/>
    <w:multiLevelType w:val="hybridMultilevel"/>
    <w:tmpl w:val="6A70A97E"/>
    <w:lvl w:ilvl="0" w:tplc="CD826C8E">
      <w:start w:val="1"/>
      <w:numFmt w:val="lowerLetter"/>
      <w:lvlText w:val="%1."/>
      <w:lvlJc w:val="left"/>
      <w:pPr>
        <w:ind w:left="1440" w:hanging="360"/>
      </w:pPr>
      <w:rPr>
        <w:rFonts w:asciiTheme="minorHAnsi" w:eastAsia="Calibri" w:hAnsiTheme="minorHAnsi" w:cstheme="minorHAnsi"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23391D"/>
    <w:multiLevelType w:val="hybridMultilevel"/>
    <w:tmpl w:val="D3F053E0"/>
    <w:lvl w:ilvl="0" w:tplc="19485BDE">
      <w:start w:val="1"/>
      <w:numFmt w:val="lowerLetter"/>
      <w:lvlText w:val="%1."/>
      <w:lvlJc w:val="left"/>
      <w:pPr>
        <w:ind w:left="1440" w:hanging="360"/>
      </w:pPr>
      <w:rPr>
        <w:rFonts w:asciiTheme="minorHAnsi" w:eastAsia="Calibri" w:hAnsiTheme="minorHAnsi" w:cstheme="minorHAnsi"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B825A8"/>
    <w:multiLevelType w:val="hybridMultilevel"/>
    <w:tmpl w:val="500AFC24"/>
    <w:lvl w:ilvl="0" w:tplc="7CB0D0AC">
      <w:start w:val="1"/>
      <w:numFmt w:val="lowerLetter"/>
      <w:lvlText w:val="%1."/>
      <w:lvlJc w:val="left"/>
      <w:pPr>
        <w:ind w:left="1440" w:hanging="360"/>
      </w:pPr>
      <w:rPr>
        <w:rFonts w:asciiTheme="minorHAnsi" w:eastAsia="Calibri" w:hAnsiTheme="minorHAnsi" w:cstheme="minorHAnsi"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004CE8"/>
    <w:multiLevelType w:val="hybridMultilevel"/>
    <w:tmpl w:val="BF584A4E"/>
    <w:lvl w:ilvl="0" w:tplc="ECCE18C6">
      <w:start w:val="1"/>
      <w:numFmt w:val="lowerLetter"/>
      <w:lvlText w:val="%1."/>
      <w:lvlJc w:val="left"/>
      <w:pPr>
        <w:ind w:left="1440" w:hanging="360"/>
      </w:pPr>
      <w:rPr>
        <w:rFonts w:asciiTheme="minorHAnsi" w:eastAsia="Calibri" w:hAnsiTheme="minorHAnsi" w:cstheme="minorHAnsi"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1D6BC3"/>
    <w:multiLevelType w:val="hybridMultilevel"/>
    <w:tmpl w:val="A03CB6BC"/>
    <w:lvl w:ilvl="0" w:tplc="E7984644">
      <w:start w:val="1"/>
      <w:numFmt w:val="lowerLetter"/>
      <w:lvlText w:val="%1."/>
      <w:lvlJc w:val="left"/>
      <w:pPr>
        <w:ind w:left="1440" w:hanging="360"/>
      </w:pPr>
      <w:rPr>
        <w:rFonts w:asciiTheme="minorHAnsi" w:eastAsia="Calibri" w:hAnsiTheme="minorHAnsi" w:cstheme="minorHAnsi"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953D59"/>
    <w:multiLevelType w:val="hybridMultilevel"/>
    <w:tmpl w:val="8BE43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DB7F15"/>
    <w:multiLevelType w:val="hybridMultilevel"/>
    <w:tmpl w:val="4C723082"/>
    <w:lvl w:ilvl="0" w:tplc="7BD06548">
      <w:start w:val="1"/>
      <w:numFmt w:val="lowerLetter"/>
      <w:lvlText w:val="%1."/>
      <w:lvlJc w:val="left"/>
      <w:pPr>
        <w:ind w:left="1440" w:hanging="360"/>
      </w:pPr>
      <w:rPr>
        <w:rFonts w:asciiTheme="minorHAnsi" w:eastAsia="Calibri" w:hAnsiTheme="minorHAnsi" w:cstheme="minorHAnsi"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6B7943"/>
    <w:multiLevelType w:val="hybridMultilevel"/>
    <w:tmpl w:val="9680122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0656E"/>
    <w:multiLevelType w:val="hybridMultilevel"/>
    <w:tmpl w:val="18469B5A"/>
    <w:lvl w:ilvl="0" w:tplc="71C2A45A">
      <w:start w:val="1"/>
      <w:numFmt w:val="lowerLetter"/>
      <w:lvlText w:val="%1."/>
      <w:lvlJc w:val="left"/>
      <w:pPr>
        <w:ind w:left="1440" w:hanging="360"/>
      </w:pPr>
      <w:rPr>
        <w:rFonts w:asciiTheme="minorHAnsi" w:eastAsia="Calibri" w:hAnsiTheme="minorHAnsi" w:cstheme="minorHAnsi"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BD0F92"/>
    <w:multiLevelType w:val="hybridMultilevel"/>
    <w:tmpl w:val="0D0CD154"/>
    <w:lvl w:ilvl="0" w:tplc="A862621C">
      <w:start w:val="1"/>
      <w:numFmt w:val="lowerLetter"/>
      <w:lvlText w:val="%1."/>
      <w:lvlJc w:val="left"/>
      <w:pPr>
        <w:ind w:left="1440" w:hanging="360"/>
      </w:pPr>
      <w:rPr>
        <w:rFonts w:ascii="Century Gothic" w:eastAsia="Calibri" w:hAnsi="Century Gothic" w:cs="Calibri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41394C"/>
    <w:multiLevelType w:val="hybridMultilevel"/>
    <w:tmpl w:val="4FC80950"/>
    <w:lvl w:ilvl="0" w:tplc="7E38CADE">
      <w:start w:val="1"/>
      <w:numFmt w:val="lowerLetter"/>
      <w:lvlText w:val="%1."/>
      <w:lvlJc w:val="left"/>
      <w:pPr>
        <w:ind w:left="1440" w:hanging="360"/>
      </w:pPr>
      <w:rPr>
        <w:rFonts w:asciiTheme="minorHAnsi" w:eastAsia="Calibri" w:hAnsiTheme="minorHAnsi" w:cstheme="minorHAnsi"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406B2B"/>
    <w:multiLevelType w:val="hybridMultilevel"/>
    <w:tmpl w:val="3312B870"/>
    <w:lvl w:ilvl="0" w:tplc="A862621C">
      <w:start w:val="1"/>
      <w:numFmt w:val="lowerLetter"/>
      <w:lvlText w:val="%1."/>
      <w:lvlJc w:val="left"/>
      <w:pPr>
        <w:ind w:left="1440" w:hanging="360"/>
      </w:pPr>
      <w:rPr>
        <w:rFonts w:ascii="Century Gothic" w:eastAsia="Calibri" w:hAnsi="Century Gothic" w:cs="Calibri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5A44D2"/>
    <w:multiLevelType w:val="hybridMultilevel"/>
    <w:tmpl w:val="D0DC0ED8"/>
    <w:lvl w:ilvl="0" w:tplc="A862621C">
      <w:start w:val="1"/>
      <w:numFmt w:val="lowerLetter"/>
      <w:lvlText w:val="%1."/>
      <w:lvlJc w:val="left"/>
      <w:pPr>
        <w:ind w:left="1440" w:hanging="360"/>
      </w:pPr>
      <w:rPr>
        <w:rFonts w:ascii="Century Gothic" w:eastAsia="Calibri" w:hAnsi="Century Gothic" w:cs="Calibri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A330C9"/>
    <w:multiLevelType w:val="hybridMultilevel"/>
    <w:tmpl w:val="8278B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AB79DC"/>
    <w:multiLevelType w:val="hybridMultilevel"/>
    <w:tmpl w:val="733E7E22"/>
    <w:lvl w:ilvl="0" w:tplc="6E809956">
      <w:start w:val="1"/>
      <w:numFmt w:val="lowerLetter"/>
      <w:lvlText w:val="%1."/>
      <w:lvlJc w:val="left"/>
      <w:pPr>
        <w:ind w:left="1440" w:hanging="360"/>
      </w:pPr>
      <w:rPr>
        <w:rFonts w:asciiTheme="minorHAnsi" w:eastAsia="Calibri" w:hAnsiTheme="minorHAnsi" w:cstheme="minorHAnsi"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A27831"/>
    <w:multiLevelType w:val="hybridMultilevel"/>
    <w:tmpl w:val="EDE02DB0"/>
    <w:lvl w:ilvl="0" w:tplc="02781EA8">
      <w:start w:val="1"/>
      <w:numFmt w:val="lowerLetter"/>
      <w:lvlText w:val="%1."/>
      <w:lvlJc w:val="left"/>
      <w:pPr>
        <w:ind w:left="1440" w:hanging="360"/>
      </w:pPr>
      <w:rPr>
        <w:rFonts w:asciiTheme="minorHAnsi" w:eastAsia="Calibri" w:hAnsiTheme="minorHAnsi" w:cstheme="minorHAnsi"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896F80"/>
    <w:multiLevelType w:val="hybridMultilevel"/>
    <w:tmpl w:val="A8D2EF1C"/>
    <w:lvl w:ilvl="0" w:tplc="8E9C5DA6">
      <w:start w:val="1"/>
      <w:numFmt w:val="lowerLetter"/>
      <w:lvlText w:val="%1."/>
      <w:lvlJc w:val="left"/>
      <w:pPr>
        <w:ind w:left="1440" w:hanging="360"/>
      </w:pPr>
      <w:rPr>
        <w:rFonts w:asciiTheme="minorHAnsi" w:eastAsia="Calibri" w:hAnsiTheme="minorHAnsi" w:cstheme="minorHAnsi"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4509D7"/>
    <w:multiLevelType w:val="hybridMultilevel"/>
    <w:tmpl w:val="579C8C8E"/>
    <w:lvl w:ilvl="0" w:tplc="A862621C">
      <w:start w:val="1"/>
      <w:numFmt w:val="lowerLetter"/>
      <w:lvlText w:val="%1."/>
      <w:lvlJc w:val="left"/>
      <w:pPr>
        <w:ind w:left="1440" w:hanging="360"/>
      </w:pPr>
      <w:rPr>
        <w:rFonts w:ascii="Century Gothic" w:eastAsia="Calibri" w:hAnsi="Century Gothic" w:cs="Calibri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C658A9"/>
    <w:multiLevelType w:val="hybridMultilevel"/>
    <w:tmpl w:val="B1B62E86"/>
    <w:lvl w:ilvl="0" w:tplc="203847D2">
      <w:start w:val="6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3917EB"/>
    <w:multiLevelType w:val="hybridMultilevel"/>
    <w:tmpl w:val="9680122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0B0917"/>
    <w:multiLevelType w:val="hybridMultilevel"/>
    <w:tmpl w:val="3F3E7FB2"/>
    <w:lvl w:ilvl="0" w:tplc="5A223C90">
      <w:start w:val="1"/>
      <w:numFmt w:val="decimal"/>
      <w:lvlText w:val="%1."/>
      <w:lvlJc w:val="left"/>
      <w:pPr>
        <w:ind w:left="720" w:hanging="360"/>
      </w:pPr>
      <w:rPr>
        <w:rFonts w:ascii="Century Gothic" w:eastAsia="Calibri" w:hAnsi="Century Gothic" w:cs="Calibri"/>
        <w:b w:val="0"/>
      </w:rPr>
    </w:lvl>
    <w:lvl w:ilvl="1" w:tplc="60AE5E5C">
      <w:start w:val="1"/>
      <w:numFmt w:val="lowerLetter"/>
      <w:lvlText w:val="%2."/>
      <w:lvlJc w:val="left"/>
      <w:pPr>
        <w:ind w:left="1440" w:hanging="360"/>
      </w:pPr>
      <w:rPr>
        <w:rFonts w:asciiTheme="minorHAnsi" w:eastAsia="Calibri" w:hAnsiTheme="minorHAnsi" w:cstheme="minorHAnsi" w:hint="default"/>
        <w:b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496C35"/>
    <w:multiLevelType w:val="hybridMultilevel"/>
    <w:tmpl w:val="0CBE4326"/>
    <w:lvl w:ilvl="0" w:tplc="53428778">
      <w:start w:val="1"/>
      <w:numFmt w:val="lowerLetter"/>
      <w:lvlText w:val="%1."/>
      <w:lvlJc w:val="left"/>
      <w:pPr>
        <w:ind w:left="1440" w:hanging="360"/>
      </w:pPr>
      <w:rPr>
        <w:rFonts w:asciiTheme="minorHAnsi" w:eastAsia="Calibri" w:hAnsiTheme="minorHAnsi" w:cstheme="minorHAnsi"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290418"/>
    <w:multiLevelType w:val="hybridMultilevel"/>
    <w:tmpl w:val="50820550"/>
    <w:lvl w:ilvl="0" w:tplc="2E248584">
      <w:start w:val="1"/>
      <w:numFmt w:val="lowerLetter"/>
      <w:lvlText w:val="%1."/>
      <w:lvlJc w:val="left"/>
      <w:pPr>
        <w:ind w:left="1440" w:hanging="360"/>
      </w:pPr>
      <w:rPr>
        <w:rFonts w:asciiTheme="minorHAnsi" w:eastAsia="Calibri" w:hAnsiTheme="minorHAnsi" w:cstheme="minorHAnsi"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596E4D"/>
    <w:multiLevelType w:val="hybridMultilevel"/>
    <w:tmpl w:val="BC50F70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76E62EDB"/>
    <w:multiLevelType w:val="hybridMultilevel"/>
    <w:tmpl w:val="5030D86C"/>
    <w:lvl w:ilvl="0" w:tplc="2342F548">
      <w:start w:val="1"/>
      <w:numFmt w:val="lowerLetter"/>
      <w:lvlText w:val="%1."/>
      <w:lvlJc w:val="left"/>
      <w:pPr>
        <w:ind w:left="1440" w:hanging="360"/>
      </w:pPr>
      <w:rPr>
        <w:rFonts w:asciiTheme="minorHAnsi" w:eastAsia="Calibri" w:hAnsiTheme="minorHAnsi" w:cstheme="minorHAnsi"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32777E"/>
    <w:multiLevelType w:val="hybridMultilevel"/>
    <w:tmpl w:val="B9E88D1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778E142">
      <w:start w:val="1"/>
      <w:numFmt w:val="lowerLetter"/>
      <w:lvlText w:val="%2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DBB3E03"/>
    <w:multiLevelType w:val="hybridMultilevel"/>
    <w:tmpl w:val="84FE7398"/>
    <w:lvl w:ilvl="0" w:tplc="1F8ED3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2055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6E3B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4A81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4EBA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04BE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6241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AA1C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522A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7"/>
  </w:num>
  <w:num w:numId="3">
    <w:abstractNumId w:val="48"/>
  </w:num>
  <w:num w:numId="4">
    <w:abstractNumId w:val="19"/>
  </w:num>
  <w:num w:numId="5">
    <w:abstractNumId w:val="47"/>
  </w:num>
  <w:num w:numId="6">
    <w:abstractNumId w:val="7"/>
  </w:num>
  <w:num w:numId="7">
    <w:abstractNumId w:val="35"/>
  </w:num>
  <w:num w:numId="8">
    <w:abstractNumId w:val="45"/>
  </w:num>
  <w:num w:numId="9">
    <w:abstractNumId w:val="18"/>
  </w:num>
  <w:num w:numId="10">
    <w:abstractNumId w:val="11"/>
  </w:num>
  <w:num w:numId="11">
    <w:abstractNumId w:val="1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39"/>
  </w:num>
  <w:num w:numId="39">
    <w:abstractNumId w:val="33"/>
  </w:num>
  <w:num w:numId="40">
    <w:abstractNumId w:val="5"/>
  </w:num>
  <w:num w:numId="41">
    <w:abstractNumId w:val="31"/>
  </w:num>
  <w:num w:numId="42">
    <w:abstractNumId w:val="3"/>
  </w:num>
  <w:num w:numId="43">
    <w:abstractNumId w:val="14"/>
  </w:num>
  <w:num w:numId="44">
    <w:abstractNumId w:val="41"/>
  </w:num>
  <w:num w:numId="45">
    <w:abstractNumId w:val="29"/>
  </w:num>
  <w:num w:numId="4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0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4E9"/>
    <w:rsid w:val="00005873"/>
    <w:rsid w:val="00027B65"/>
    <w:rsid w:val="00043B53"/>
    <w:rsid w:val="0004471D"/>
    <w:rsid w:val="00047DDC"/>
    <w:rsid w:val="000605B1"/>
    <w:rsid w:val="00061230"/>
    <w:rsid w:val="00062439"/>
    <w:rsid w:val="00072771"/>
    <w:rsid w:val="0007526C"/>
    <w:rsid w:val="000803C2"/>
    <w:rsid w:val="00082D7F"/>
    <w:rsid w:val="000A2D57"/>
    <w:rsid w:val="000B713F"/>
    <w:rsid w:val="000D4E97"/>
    <w:rsid w:val="000E3F71"/>
    <w:rsid w:val="000E4FC2"/>
    <w:rsid w:val="000F7008"/>
    <w:rsid w:val="0010335A"/>
    <w:rsid w:val="00105E8F"/>
    <w:rsid w:val="00111650"/>
    <w:rsid w:val="00121670"/>
    <w:rsid w:val="00132F82"/>
    <w:rsid w:val="00142956"/>
    <w:rsid w:val="00170223"/>
    <w:rsid w:val="00176F7D"/>
    <w:rsid w:val="00177D66"/>
    <w:rsid w:val="00185BD7"/>
    <w:rsid w:val="00195E27"/>
    <w:rsid w:val="001A2EED"/>
    <w:rsid w:val="001A5209"/>
    <w:rsid w:val="001A57B6"/>
    <w:rsid w:val="001B4D20"/>
    <w:rsid w:val="001C0040"/>
    <w:rsid w:val="001C1A14"/>
    <w:rsid w:val="001E3423"/>
    <w:rsid w:val="001E3748"/>
    <w:rsid w:val="001E48A0"/>
    <w:rsid w:val="001E5097"/>
    <w:rsid w:val="001E7A91"/>
    <w:rsid w:val="001F1812"/>
    <w:rsid w:val="001F6D7F"/>
    <w:rsid w:val="00204E09"/>
    <w:rsid w:val="00206F57"/>
    <w:rsid w:val="00211DCF"/>
    <w:rsid w:val="00223F03"/>
    <w:rsid w:val="00237397"/>
    <w:rsid w:val="00237583"/>
    <w:rsid w:val="00244492"/>
    <w:rsid w:val="00245079"/>
    <w:rsid w:val="002464B2"/>
    <w:rsid w:val="00247D34"/>
    <w:rsid w:val="00251AE6"/>
    <w:rsid w:val="00255E4A"/>
    <w:rsid w:val="002567FF"/>
    <w:rsid w:val="00262327"/>
    <w:rsid w:val="002629E3"/>
    <w:rsid w:val="0028082F"/>
    <w:rsid w:val="00281618"/>
    <w:rsid w:val="002818CE"/>
    <w:rsid w:val="00291FBC"/>
    <w:rsid w:val="002B0DC0"/>
    <w:rsid w:val="002B2D3D"/>
    <w:rsid w:val="002D1F6D"/>
    <w:rsid w:val="002D2F61"/>
    <w:rsid w:val="002D3496"/>
    <w:rsid w:val="00305DD8"/>
    <w:rsid w:val="00306066"/>
    <w:rsid w:val="00316441"/>
    <w:rsid w:val="00337E02"/>
    <w:rsid w:val="00343A86"/>
    <w:rsid w:val="0034421F"/>
    <w:rsid w:val="003503D0"/>
    <w:rsid w:val="003543C6"/>
    <w:rsid w:val="003619A7"/>
    <w:rsid w:val="003643A3"/>
    <w:rsid w:val="0039191E"/>
    <w:rsid w:val="003A00C4"/>
    <w:rsid w:val="003A1F99"/>
    <w:rsid w:val="003A2037"/>
    <w:rsid w:val="003A36FD"/>
    <w:rsid w:val="003B1BCA"/>
    <w:rsid w:val="003D7662"/>
    <w:rsid w:val="003E2433"/>
    <w:rsid w:val="003F44BA"/>
    <w:rsid w:val="00402E1B"/>
    <w:rsid w:val="00404D7C"/>
    <w:rsid w:val="00412E4F"/>
    <w:rsid w:val="00426525"/>
    <w:rsid w:val="0043087E"/>
    <w:rsid w:val="0044293B"/>
    <w:rsid w:val="004517AF"/>
    <w:rsid w:val="004557E4"/>
    <w:rsid w:val="0046693F"/>
    <w:rsid w:val="004715AB"/>
    <w:rsid w:val="004741AE"/>
    <w:rsid w:val="00474B0C"/>
    <w:rsid w:val="00480103"/>
    <w:rsid w:val="00480EC3"/>
    <w:rsid w:val="00486B92"/>
    <w:rsid w:val="004872C4"/>
    <w:rsid w:val="004875D5"/>
    <w:rsid w:val="00490DAE"/>
    <w:rsid w:val="00492DEE"/>
    <w:rsid w:val="00495CD2"/>
    <w:rsid w:val="004A339F"/>
    <w:rsid w:val="004A4750"/>
    <w:rsid w:val="004A4A37"/>
    <w:rsid w:val="004A60E4"/>
    <w:rsid w:val="004A68DC"/>
    <w:rsid w:val="004B05E3"/>
    <w:rsid w:val="004B625C"/>
    <w:rsid w:val="004C3A17"/>
    <w:rsid w:val="004E4F1D"/>
    <w:rsid w:val="004F0146"/>
    <w:rsid w:val="004F7676"/>
    <w:rsid w:val="00501ACE"/>
    <w:rsid w:val="0050368D"/>
    <w:rsid w:val="00504122"/>
    <w:rsid w:val="005065D6"/>
    <w:rsid w:val="0051677E"/>
    <w:rsid w:val="005202C4"/>
    <w:rsid w:val="00525482"/>
    <w:rsid w:val="00526EC9"/>
    <w:rsid w:val="00527B24"/>
    <w:rsid w:val="00542B44"/>
    <w:rsid w:val="005513A8"/>
    <w:rsid w:val="0055201D"/>
    <w:rsid w:val="00555B87"/>
    <w:rsid w:val="0057517F"/>
    <w:rsid w:val="005753E4"/>
    <w:rsid w:val="00586910"/>
    <w:rsid w:val="00591C0B"/>
    <w:rsid w:val="0059290F"/>
    <w:rsid w:val="005A152B"/>
    <w:rsid w:val="005A32DB"/>
    <w:rsid w:val="005B57B7"/>
    <w:rsid w:val="005D30AB"/>
    <w:rsid w:val="005D4AAD"/>
    <w:rsid w:val="005D4B19"/>
    <w:rsid w:val="005E0871"/>
    <w:rsid w:val="005E2242"/>
    <w:rsid w:val="005E31B9"/>
    <w:rsid w:val="005E65E1"/>
    <w:rsid w:val="005F0934"/>
    <w:rsid w:val="00612B99"/>
    <w:rsid w:val="006252BF"/>
    <w:rsid w:val="00631F4A"/>
    <w:rsid w:val="0063694E"/>
    <w:rsid w:val="00637B50"/>
    <w:rsid w:val="00640E7D"/>
    <w:rsid w:val="00647AE4"/>
    <w:rsid w:val="00653ACA"/>
    <w:rsid w:val="00653D67"/>
    <w:rsid w:val="00654C5F"/>
    <w:rsid w:val="00690073"/>
    <w:rsid w:val="006A0743"/>
    <w:rsid w:val="006A58BA"/>
    <w:rsid w:val="006A6263"/>
    <w:rsid w:val="006B6EDD"/>
    <w:rsid w:val="006B7A91"/>
    <w:rsid w:val="006C2DCF"/>
    <w:rsid w:val="006C4676"/>
    <w:rsid w:val="006C68DB"/>
    <w:rsid w:val="006D32B7"/>
    <w:rsid w:val="006D4528"/>
    <w:rsid w:val="006E18D4"/>
    <w:rsid w:val="0070695E"/>
    <w:rsid w:val="007303AD"/>
    <w:rsid w:val="00740FD2"/>
    <w:rsid w:val="00743D11"/>
    <w:rsid w:val="007454C1"/>
    <w:rsid w:val="00750363"/>
    <w:rsid w:val="00757215"/>
    <w:rsid w:val="00757609"/>
    <w:rsid w:val="00765714"/>
    <w:rsid w:val="00766A67"/>
    <w:rsid w:val="007677EF"/>
    <w:rsid w:val="0077405E"/>
    <w:rsid w:val="007759E1"/>
    <w:rsid w:val="00783A81"/>
    <w:rsid w:val="00784E9C"/>
    <w:rsid w:val="0079288D"/>
    <w:rsid w:val="007A03D8"/>
    <w:rsid w:val="007C69DD"/>
    <w:rsid w:val="007D3D41"/>
    <w:rsid w:val="007E7EEE"/>
    <w:rsid w:val="007F7422"/>
    <w:rsid w:val="0080172E"/>
    <w:rsid w:val="00815B07"/>
    <w:rsid w:val="008167B4"/>
    <w:rsid w:val="00834647"/>
    <w:rsid w:val="00834E50"/>
    <w:rsid w:val="00841E33"/>
    <w:rsid w:val="008450CE"/>
    <w:rsid w:val="00846176"/>
    <w:rsid w:val="0084657E"/>
    <w:rsid w:val="00864C8C"/>
    <w:rsid w:val="00875BC2"/>
    <w:rsid w:val="008841C8"/>
    <w:rsid w:val="00884C3D"/>
    <w:rsid w:val="008B3DD4"/>
    <w:rsid w:val="008C527E"/>
    <w:rsid w:val="008D78D6"/>
    <w:rsid w:val="008E408C"/>
    <w:rsid w:val="008E5830"/>
    <w:rsid w:val="008E7FAF"/>
    <w:rsid w:val="00914AB8"/>
    <w:rsid w:val="00924134"/>
    <w:rsid w:val="009275AC"/>
    <w:rsid w:val="00930199"/>
    <w:rsid w:val="009522EF"/>
    <w:rsid w:val="00956A01"/>
    <w:rsid w:val="00960AAD"/>
    <w:rsid w:val="00972A30"/>
    <w:rsid w:val="009824E1"/>
    <w:rsid w:val="00995963"/>
    <w:rsid w:val="009A2C96"/>
    <w:rsid w:val="009A39C9"/>
    <w:rsid w:val="009A6695"/>
    <w:rsid w:val="009B2B67"/>
    <w:rsid w:val="009B6A95"/>
    <w:rsid w:val="009B7470"/>
    <w:rsid w:val="009C0415"/>
    <w:rsid w:val="009D03A0"/>
    <w:rsid w:val="009D3275"/>
    <w:rsid w:val="009D3489"/>
    <w:rsid w:val="009E2E6C"/>
    <w:rsid w:val="009F048D"/>
    <w:rsid w:val="009F4846"/>
    <w:rsid w:val="009F657E"/>
    <w:rsid w:val="00A01225"/>
    <w:rsid w:val="00A12EDE"/>
    <w:rsid w:val="00A16E4B"/>
    <w:rsid w:val="00A305BA"/>
    <w:rsid w:val="00A32CBB"/>
    <w:rsid w:val="00A4558A"/>
    <w:rsid w:val="00A45F74"/>
    <w:rsid w:val="00A46F12"/>
    <w:rsid w:val="00A50291"/>
    <w:rsid w:val="00A50E05"/>
    <w:rsid w:val="00A71454"/>
    <w:rsid w:val="00A7248C"/>
    <w:rsid w:val="00A852A9"/>
    <w:rsid w:val="00A873B7"/>
    <w:rsid w:val="00A9438B"/>
    <w:rsid w:val="00A948BC"/>
    <w:rsid w:val="00A94C97"/>
    <w:rsid w:val="00AA1836"/>
    <w:rsid w:val="00AA2909"/>
    <w:rsid w:val="00AA53E7"/>
    <w:rsid w:val="00AC25BF"/>
    <w:rsid w:val="00AC4BFE"/>
    <w:rsid w:val="00AD234F"/>
    <w:rsid w:val="00AD78C5"/>
    <w:rsid w:val="00AE1A7C"/>
    <w:rsid w:val="00AE2B51"/>
    <w:rsid w:val="00AF030D"/>
    <w:rsid w:val="00B00A80"/>
    <w:rsid w:val="00B06254"/>
    <w:rsid w:val="00B15337"/>
    <w:rsid w:val="00B20788"/>
    <w:rsid w:val="00B2165B"/>
    <w:rsid w:val="00B2373C"/>
    <w:rsid w:val="00B404E9"/>
    <w:rsid w:val="00B41660"/>
    <w:rsid w:val="00B47658"/>
    <w:rsid w:val="00B56F4F"/>
    <w:rsid w:val="00B6212C"/>
    <w:rsid w:val="00B628E1"/>
    <w:rsid w:val="00B64B98"/>
    <w:rsid w:val="00B73ED6"/>
    <w:rsid w:val="00B74114"/>
    <w:rsid w:val="00B743F6"/>
    <w:rsid w:val="00B75DF8"/>
    <w:rsid w:val="00B777E5"/>
    <w:rsid w:val="00B86264"/>
    <w:rsid w:val="00B865BB"/>
    <w:rsid w:val="00B866CD"/>
    <w:rsid w:val="00B950A7"/>
    <w:rsid w:val="00B97842"/>
    <w:rsid w:val="00BA2FF2"/>
    <w:rsid w:val="00BA571E"/>
    <w:rsid w:val="00BA5DAC"/>
    <w:rsid w:val="00BD1569"/>
    <w:rsid w:val="00BE05B4"/>
    <w:rsid w:val="00BE66D4"/>
    <w:rsid w:val="00BF0C80"/>
    <w:rsid w:val="00BF3D0B"/>
    <w:rsid w:val="00BF6824"/>
    <w:rsid w:val="00C164E0"/>
    <w:rsid w:val="00C331B8"/>
    <w:rsid w:val="00C4365E"/>
    <w:rsid w:val="00C47171"/>
    <w:rsid w:val="00C679AB"/>
    <w:rsid w:val="00C97A11"/>
    <w:rsid w:val="00CA4825"/>
    <w:rsid w:val="00CB213E"/>
    <w:rsid w:val="00CB7587"/>
    <w:rsid w:val="00CC1B29"/>
    <w:rsid w:val="00CD5FD8"/>
    <w:rsid w:val="00CE7554"/>
    <w:rsid w:val="00CE7E80"/>
    <w:rsid w:val="00CF5E47"/>
    <w:rsid w:val="00CF7521"/>
    <w:rsid w:val="00D137A0"/>
    <w:rsid w:val="00D147D3"/>
    <w:rsid w:val="00D15B62"/>
    <w:rsid w:val="00D21A73"/>
    <w:rsid w:val="00D33C41"/>
    <w:rsid w:val="00D36C3A"/>
    <w:rsid w:val="00D36EBD"/>
    <w:rsid w:val="00D42601"/>
    <w:rsid w:val="00D45042"/>
    <w:rsid w:val="00D84680"/>
    <w:rsid w:val="00D90E46"/>
    <w:rsid w:val="00D97E8C"/>
    <w:rsid w:val="00DB0DA6"/>
    <w:rsid w:val="00DC2FC4"/>
    <w:rsid w:val="00DD2397"/>
    <w:rsid w:val="00DE5425"/>
    <w:rsid w:val="00DF02B8"/>
    <w:rsid w:val="00DF12BA"/>
    <w:rsid w:val="00E03766"/>
    <w:rsid w:val="00E12C54"/>
    <w:rsid w:val="00E16425"/>
    <w:rsid w:val="00E22D8E"/>
    <w:rsid w:val="00E326D2"/>
    <w:rsid w:val="00E46F1B"/>
    <w:rsid w:val="00E60342"/>
    <w:rsid w:val="00E60949"/>
    <w:rsid w:val="00E61A14"/>
    <w:rsid w:val="00E62F6E"/>
    <w:rsid w:val="00E63B75"/>
    <w:rsid w:val="00E70994"/>
    <w:rsid w:val="00E7167E"/>
    <w:rsid w:val="00E718A9"/>
    <w:rsid w:val="00E71B57"/>
    <w:rsid w:val="00E745C0"/>
    <w:rsid w:val="00E74B04"/>
    <w:rsid w:val="00E9357F"/>
    <w:rsid w:val="00E9784D"/>
    <w:rsid w:val="00EB20D3"/>
    <w:rsid w:val="00EC2273"/>
    <w:rsid w:val="00EE1FB2"/>
    <w:rsid w:val="00EE4FC4"/>
    <w:rsid w:val="00EF5EAE"/>
    <w:rsid w:val="00F12C14"/>
    <w:rsid w:val="00F21018"/>
    <w:rsid w:val="00F3660B"/>
    <w:rsid w:val="00F400AE"/>
    <w:rsid w:val="00F41039"/>
    <w:rsid w:val="00F439BC"/>
    <w:rsid w:val="00F517FC"/>
    <w:rsid w:val="00F55DA8"/>
    <w:rsid w:val="00F6330C"/>
    <w:rsid w:val="00F655A1"/>
    <w:rsid w:val="00F74F42"/>
    <w:rsid w:val="00F90FF8"/>
    <w:rsid w:val="00F93071"/>
    <w:rsid w:val="00F94816"/>
    <w:rsid w:val="00F94F9E"/>
    <w:rsid w:val="00F96603"/>
    <w:rsid w:val="00FA2694"/>
    <w:rsid w:val="00FB4877"/>
    <w:rsid w:val="00FB5769"/>
    <w:rsid w:val="00FC1F65"/>
    <w:rsid w:val="00FC45FC"/>
    <w:rsid w:val="00FE0B0C"/>
    <w:rsid w:val="00FF2ACD"/>
    <w:rsid w:val="00FF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DD52D9"/>
  <w15:chartTrackingRefBased/>
  <w15:docId w15:val="{C54C6AB5-32C8-4751-A4F1-A75CBC253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404E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A520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520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520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A47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475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A47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47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4750"/>
    <w:rPr>
      <w:sz w:val="20"/>
      <w:szCs w:val="20"/>
    </w:rPr>
  </w:style>
  <w:style w:type="table" w:styleId="TableGrid">
    <w:name w:val="Table Grid"/>
    <w:basedOn w:val="TableNormal"/>
    <w:uiPriority w:val="39"/>
    <w:rsid w:val="004A4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76F7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2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ACD"/>
  </w:style>
  <w:style w:type="paragraph" w:styleId="Footer">
    <w:name w:val="footer"/>
    <w:basedOn w:val="Normal"/>
    <w:link w:val="FooterChar"/>
    <w:uiPriority w:val="99"/>
    <w:unhideWhenUsed/>
    <w:rsid w:val="00FF2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ACD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97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263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20718">
          <w:marLeft w:val="126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938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2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20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9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2322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564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367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315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24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261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015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955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589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23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218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31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54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24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27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96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37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04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45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6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37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0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4632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6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32261">
          <w:marLeft w:val="126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059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57490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49606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4388">
          <w:marLeft w:val="144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8739">
          <w:marLeft w:val="144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2491">
          <w:marLeft w:val="144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015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92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728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122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3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61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268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082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149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7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53C15-8245-4671-B1E7-2BD6036FA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Rogers</dc:creator>
  <cp:keywords/>
  <dc:description/>
  <cp:lastModifiedBy>Julie Snowdon</cp:lastModifiedBy>
  <cp:revision>2</cp:revision>
  <cp:lastPrinted>2021-10-29T07:02:00Z</cp:lastPrinted>
  <dcterms:created xsi:type="dcterms:W3CDTF">2021-12-22T08:52:00Z</dcterms:created>
  <dcterms:modified xsi:type="dcterms:W3CDTF">2021-12-22T08:52:00Z</dcterms:modified>
</cp:coreProperties>
</file>